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21563">
      <w:pPr>
        <w:pageBreakBefore w:val="0"/>
        <w:kinsoku/>
        <w:wordWrap/>
        <w:overflowPunct/>
        <w:topLinePunct w:val="0"/>
        <w:autoSpaceDE w:val="0"/>
        <w:autoSpaceDN w:val="0"/>
        <w:bidi w:val="0"/>
        <w:adjustRightInd/>
        <w:snapToGrid/>
        <w:spacing w:line="360" w:lineRule="auto"/>
        <w:jc w:val="center"/>
        <w:textAlignment w:val="bottom"/>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川投国网公司观光电瓶车采购项目</w:t>
      </w:r>
    </w:p>
    <w:p w14:paraId="11C38A77">
      <w:pPr>
        <w:pageBreakBefore w:val="0"/>
        <w:kinsoku/>
        <w:wordWrap/>
        <w:overflowPunct/>
        <w:topLinePunct w:val="0"/>
        <w:autoSpaceDE w:val="0"/>
        <w:autoSpaceDN w:val="0"/>
        <w:bidi w:val="0"/>
        <w:adjustRightInd/>
        <w:snapToGrid/>
        <w:spacing w:line="360" w:lineRule="auto"/>
        <w:jc w:val="center"/>
        <w:textAlignment w:val="bottom"/>
        <w:rPr>
          <w:rFonts w:hint="eastAsia" w:ascii="宋体" w:hAnsi="宋体" w:eastAsia="宋体" w:cs="宋体"/>
          <w:b/>
          <w:bCs/>
          <w:color w:val="auto"/>
          <w:sz w:val="44"/>
          <w:szCs w:val="44"/>
        </w:rPr>
      </w:pPr>
      <w:r>
        <w:rPr>
          <w:rFonts w:hint="eastAsia" w:ascii="宋体" w:hAnsi="宋体" w:cs="宋体"/>
          <w:b/>
          <w:bCs/>
          <w:color w:val="auto"/>
          <w:sz w:val="44"/>
          <w:szCs w:val="44"/>
          <w:lang w:val="en-US" w:eastAsia="zh-CN"/>
        </w:rPr>
        <w:t>询比</w:t>
      </w:r>
      <w:r>
        <w:rPr>
          <w:rFonts w:hint="eastAsia" w:ascii="宋体" w:hAnsi="宋体" w:eastAsia="宋体" w:cs="宋体"/>
          <w:b/>
          <w:bCs/>
          <w:color w:val="auto"/>
          <w:sz w:val="44"/>
          <w:szCs w:val="44"/>
        </w:rPr>
        <w:t>公告</w:t>
      </w:r>
    </w:p>
    <w:p w14:paraId="3741B006">
      <w:pPr>
        <w:pStyle w:val="4"/>
        <w:pageBreakBefore w:val="0"/>
        <w:kinsoku/>
        <w:wordWrap/>
        <w:overflowPunct/>
        <w:topLinePunct w:val="0"/>
        <w:bidi w:val="0"/>
        <w:adjustRightInd/>
        <w:snapToGrid/>
        <w:rPr>
          <w:rFonts w:hint="eastAsia" w:ascii="宋体" w:hAnsi="宋体" w:eastAsia="宋体" w:cs="宋体"/>
          <w:b/>
          <w:bCs/>
          <w:color w:val="auto"/>
          <w:sz w:val="24"/>
          <w:szCs w:val="24"/>
        </w:rPr>
      </w:pPr>
    </w:p>
    <w:p w14:paraId="6AADF2B9">
      <w:pPr>
        <w:spacing w:line="360" w:lineRule="auto"/>
        <w:ind w:firstLine="482" w:firstLineChars="200"/>
        <w:rPr>
          <w:rFonts w:hint="eastAsia" w:ascii="宋体" w:hAnsi="宋体"/>
          <w:b/>
          <w:sz w:val="24"/>
        </w:rPr>
      </w:pPr>
    </w:p>
    <w:p w14:paraId="78CE4FD2">
      <w:pPr>
        <w:pStyle w:val="2"/>
        <w:pageBreakBefore w:val="0"/>
        <w:kinsoku/>
        <w:wordWrap/>
        <w:overflowPunct/>
        <w:topLinePunct w:val="0"/>
        <w:autoSpaceDE/>
        <w:autoSpaceDN/>
        <w:bidi w:val="0"/>
        <w:adjustRightInd/>
        <w:snapToGrid/>
        <w:spacing w:before="0" w:after="0" w:line="360" w:lineRule="auto"/>
        <w:textAlignment w:val="auto"/>
        <w:rPr>
          <w:rFonts w:hint="eastAsia" w:ascii="宋体" w:hAnsi="宋体" w:cs="宋体"/>
          <w:sz w:val="28"/>
          <w:szCs w:val="28"/>
        </w:rPr>
      </w:pPr>
      <w:bookmarkStart w:id="0" w:name="_Toc29123"/>
      <w:bookmarkStart w:id="1" w:name="_Toc13820"/>
      <w:bookmarkStart w:id="2" w:name="_Toc29623_WPSOffice_Level2"/>
      <w:bookmarkStart w:id="3" w:name="_Toc29517_WPSOffice_Level2"/>
      <w:bookmarkStart w:id="4" w:name="_Toc13697"/>
      <w:bookmarkStart w:id="5" w:name="_Toc11202_WPSOffice_Level2"/>
      <w:r>
        <w:rPr>
          <w:rFonts w:hint="eastAsia" w:ascii="宋体" w:hAnsi="宋体" w:cs="宋体"/>
          <w:sz w:val="28"/>
          <w:szCs w:val="28"/>
        </w:rPr>
        <w:t>一、询比条件</w:t>
      </w:r>
      <w:bookmarkEnd w:id="0"/>
      <w:bookmarkEnd w:id="1"/>
      <w:bookmarkEnd w:id="2"/>
      <w:bookmarkEnd w:id="3"/>
      <w:bookmarkEnd w:id="4"/>
      <w:bookmarkEnd w:id="5"/>
    </w:p>
    <w:p w14:paraId="36EAA5F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1.</w:t>
      </w:r>
      <w:r>
        <w:rPr>
          <w:rFonts w:hint="eastAsia"/>
        </w:rPr>
        <w:t xml:space="preserve"> </w:t>
      </w:r>
      <w:r>
        <w:rPr>
          <w:rFonts w:hint="eastAsia" w:ascii="宋体" w:hAnsi="宋体" w:cs="宋体"/>
          <w:sz w:val="24"/>
        </w:rPr>
        <w:t>四川川投国际网球中心开发有限责任公司根据经营需要，按照公司制度对</w:t>
      </w:r>
      <w:r>
        <w:rPr>
          <w:rFonts w:hint="eastAsia" w:ascii="宋体" w:hAnsi="宋体" w:cs="宋体"/>
          <w:sz w:val="24"/>
          <w:u w:val="single"/>
        </w:rPr>
        <w:t xml:space="preserve"> </w:t>
      </w:r>
      <w:r>
        <w:rPr>
          <w:rFonts w:hint="eastAsia" w:ascii="宋体" w:hAnsi="宋体" w:cs="宋体"/>
          <w:sz w:val="24"/>
          <w:u w:val="single"/>
          <w:lang w:eastAsia="zh-CN"/>
        </w:rPr>
        <w:t>观光电瓶车</w:t>
      </w:r>
      <w:r>
        <w:rPr>
          <w:rFonts w:hint="eastAsia" w:ascii="宋体" w:hAnsi="宋体" w:cs="宋体"/>
          <w:sz w:val="24"/>
          <w:u w:val="single"/>
        </w:rPr>
        <w:t xml:space="preserve"> </w:t>
      </w:r>
      <w:r>
        <w:rPr>
          <w:rFonts w:hint="eastAsia" w:ascii="宋体" w:hAnsi="宋体" w:cs="宋体"/>
          <w:sz w:val="24"/>
        </w:rPr>
        <w:t>进行公开询比。</w:t>
      </w:r>
    </w:p>
    <w:p w14:paraId="1CC4B93D">
      <w:pPr>
        <w:pStyle w:val="2"/>
        <w:pageBreakBefore w:val="0"/>
        <w:kinsoku/>
        <w:wordWrap/>
        <w:overflowPunct/>
        <w:topLinePunct w:val="0"/>
        <w:autoSpaceDE/>
        <w:autoSpaceDN/>
        <w:bidi w:val="0"/>
        <w:adjustRightInd/>
        <w:snapToGrid/>
        <w:spacing w:before="0" w:after="0" w:line="360" w:lineRule="auto"/>
        <w:textAlignment w:val="auto"/>
        <w:rPr>
          <w:rFonts w:hint="eastAsia" w:ascii="宋体" w:hAnsi="宋体" w:cs="宋体"/>
          <w:sz w:val="28"/>
          <w:szCs w:val="28"/>
        </w:rPr>
      </w:pPr>
      <w:bookmarkStart w:id="6" w:name="_Toc21771_WPSOffice_Level2"/>
      <w:bookmarkStart w:id="7" w:name="_Toc10625"/>
      <w:bookmarkStart w:id="8" w:name="_Toc27772_WPSOffice_Level2"/>
      <w:bookmarkStart w:id="9" w:name="_Toc2206_WPSOffice_Level2"/>
      <w:bookmarkStart w:id="10" w:name="_Toc11793"/>
      <w:bookmarkStart w:id="11" w:name="_Toc28296"/>
      <w:r>
        <w:rPr>
          <w:rFonts w:hint="eastAsia" w:ascii="宋体" w:hAnsi="宋体" w:cs="宋体"/>
          <w:sz w:val="28"/>
          <w:szCs w:val="28"/>
        </w:rPr>
        <w:t>二、项目概况与询比范围</w:t>
      </w:r>
      <w:bookmarkEnd w:id="6"/>
      <w:bookmarkEnd w:id="7"/>
      <w:bookmarkEnd w:id="8"/>
      <w:bookmarkEnd w:id="9"/>
      <w:bookmarkEnd w:id="10"/>
      <w:bookmarkEnd w:id="11"/>
    </w:p>
    <w:p w14:paraId="247CDB9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1.项目概况</w:t>
      </w:r>
    </w:p>
    <w:tbl>
      <w:tblPr>
        <w:tblStyle w:val="7"/>
        <w:tblW w:w="8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5558"/>
      </w:tblGrid>
      <w:tr w14:paraId="5380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485" w:type="dxa"/>
            <w:noWrap w:val="0"/>
            <w:vAlign w:val="top"/>
          </w:tcPr>
          <w:p w14:paraId="52D7DDD1">
            <w:pPr>
              <w:pageBreakBefore w:val="0"/>
              <w:kinsoku/>
              <w:wordWrap/>
              <w:overflowPunct/>
              <w:topLinePunct w:val="0"/>
              <w:autoSpaceDE/>
              <w:autoSpaceDN/>
              <w:bidi w:val="0"/>
              <w:adjustRightInd/>
              <w:snapToGrid/>
              <w:spacing w:line="360" w:lineRule="auto"/>
              <w:jc w:val="center"/>
              <w:textAlignment w:val="auto"/>
              <w:rPr>
                <w:rFonts w:hint="eastAsia" w:ascii="宋体" w:hAnsi="宋体" w:cs="宋体"/>
                <w:sz w:val="24"/>
              </w:rPr>
            </w:pPr>
            <w:r>
              <w:rPr>
                <w:rFonts w:hint="eastAsia" w:ascii="宋体" w:hAnsi="宋体" w:cs="宋体"/>
                <w:sz w:val="24"/>
              </w:rPr>
              <w:t>采购人</w:t>
            </w:r>
          </w:p>
        </w:tc>
        <w:tc>
          <w:tcPr>
            <w:tcW w:w="5558" w:type="dxa"/>
            <w:noWrap w:val="0"/>
            <w:vAlign w:val="top"/>
          </w:tcPr>
          <w:p w14:paraId="70CADADB">
            <w:pPr>
              <w:pageBreakBefore w:val="0"/>
              <w:kinsoku/>
              <w:wordWrap/>
              <w:overflowPunct/>
              <w:topLinePunct w:val="0"/>
              <w:autoSpaceDE/>
              <w:autoSpaceDN/>
              <w:bidi w:val="0"/>
              <w:adjustRightInd/>
              <w:snapToGrid/>
              <w:spacing w:line="360" w:lineRule="auto"/>
              <w:jc w:val="center"/>
              <w:textAlignment w:val="auto"/>
              <w:rPr>
                <w:rFonts w:hint="eastAsia" w:ascii="宋体" w:hAnsi="宋体" w:cs="宋体"/>
                <w:sz w:val="24"/>
              </w:rPr>
            </w:pPr>
            <w:r>
              <w:rPr>
                <w:rFonts w:hint="eastAsia" w:ascii="宋体" w:hAnsi="宋体" w:cs="宋体"/>
                <w:sz w:val="24"/>
              </w:rPr>
              <w:t>四川川投国际网球中心开发有限责任公司</w:t>
            </w:r>
          </w:p>
        </w:tc>
      </w:tr>
      <w:tr w14:paraId="3882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485" w:type="dxa"/>
            <w:noWrap w:val="0"/>
            <w:vAlign w:val="top"/>
          </w:tcPr>
          <w:p w14:paraId="69E37CD9">
            <w:pPr>
              <w:pageBreakBefore w:val="0"/>
              <w:kinsoku/>
              <w:wordWrap/>
              <w:overflowPunct/>
              <w:topLinePunct w:val="0"/>
              <w:autoSpaceDE/>
              <w:autoSpaceDN/>
              <w:bidi w:val="0"/>
              <w:adjustRightInd/>
              <w:snapToGrid/>
              <w:spacing w:line="360" w:lineRule="auto"/>
              <w:jc w:val="center"/>
              <w:textAlignment w:val="auto"/>
              <w:rPr>
                <w:rFonts w:hint="eastAsia" w:ascii="宋体" w:hAnsi="宋体" w:cs="宋体"/>
                <w:sz w:val="24"/>
              </w:rPr>
            </w:pPr>
            <w:r>
              <w:rPr>
                <w:rFonts w:hint="eastAsia" w:ascii="宋体" w:hAnsi="宋体" w:cs="宋体"/>
                <w:sz w:val="24"/>
              </w:rPr>
              <w:t>项目名称</w:t>
            </w:r>
          </w:p>
        </w:tc>
        <w:tc>
          <w:tcPr>
            <w:tcW w:w="5558" w:type="dxa"/>
            <w:noWrap w:val="0"/>
            <w:vAlign w:val="top"/>
          </w:tcPr>
          <w:p w14:paraId="496D9A5B">
            <w:pPr>
              <w:pageBreakBefore w:val="0"/>
              <w:kinsoku/>
              <w:wordWrap/>
              <w:overflowPunct/>
              <w:topLinePunct w:val="0"/>
              <w:autoSpaceDE/>
              <w:autoSpaceDN/>
              <w:bidi w:val="0"/>
              <w:adjustRightInd/>
              <w:snapToGrid/>
              <w:spacing w:line="360" w:lineRule="auto"/>
              <w:jc w:val="center"/>
              <w:textAlignment w:val="auto"/>
              <w:rPr>
                <w:rFonts w:hint="eastAsia" w:ascii="宋体" w:hAnsi="宋体" w:cs="宋体"/>
                <w:sz w:val="24"/>
              </w:rPr>
            </w:pPr>
            <w:r>
              <w:rPr>
                <w:rFonts w:hint="eastAsia" w:ascii="宋体" w:hAnsi="宋体" w:cs="宋体"/>
                <w:sz w:val="24"/>
              </w:rPr>
              <w:t>川投国网公司</w:t>
            </w:r>
            <w:r>
              <w:rPr>
                <w:rFonts w:hint="eastAsia" w:ascii="宋体" w:hAnsi="宋体" w:cs="宋体"/>
                <w:sz w:val="24"/>
                <w:lang w:eastAsia="zh-CN"/>
              </w:rPr>
              <w:t>观光电瓶车</w:t>
            </w:r>
            <w:r>
              <w:rPr>
                <w:rFonts w:hint="eastAsia" w:ascii="宋体" w:hAnsi="宋体" w:cs="宋体"/>
                <w:sz w:val="24"/>
              </w:rPr>
              <w:t>采购项目</w:t>
            </w:r>
          </w:p>
        </w:tc>
      </w:tr>
      <w:tr w14:paraId="6309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485" w:type="dxa"/>
            <w:noWrap w:val="0"/>
            <w:vAlign w:val="top"/>
          </w:tcPr>
          <w:p w14:paraId="18B47CF5">
            <w:pPr>
              <w:pageBreakBefore w:val="0"/>
              <w:kinsoku/>
              <w:wordWrap/>
              <w:overflowPunct/>
              <w:topLinePunct w:val="0"/>
              <w:autoSpaceDE/>
              <w:autoSpaceDN/>
              <w:bidi w:val="0"/>
              <w:adjustRightInd/>
              <w:snapToGrid/>
              <w:spacing w:line="360" w:lineRule="auto"/>
              <w:jc w:val="center"/>
              <w:textAlignment w:val="auto"/>
              <w:rPr>
                <w:rFonts w:hint="eastAsia" w:ascii="宋体" w:hAnsi="宋体" w:cs="宋体"/>
                <w:sz w:val="24"/>
              </w:rPr>
            </w:pPr>
            <w:r>
              <w:rPr>
                <w:rFonts w:hint="eastAsia" w:ascii="宋体" w:hAnsi="宋体" w:cs="宋体"/>
                <w:sz w:val="24"/>
              </w:rPr>
              <w:t>项目控制含税总价</w:t>
            </w:r>
          </w:p>
        </w:tc>
        <w:tc>
          <w:tcPr>
            <w:tcW w:w="5558" w:type="dxa"/>
            <w:noWrap w:val="0"/>
            <w:vAlign w:val="top"/>
          </w:tcPr>
          <w:p w14:paraId="0515F5D5">
            <w:pPr>
              <w:pageBreakBefore w:val="0"/>
              <w:kinsoku/>
              <w:wordWrap/>
              <w:overflowPunct/>
              <w:topLinePunct w:val="0"/>
              <w:autoSpaceDE/>
              <w:autoSpaceDN/>
              <w:bidi w:val="0"/>
              <w:adjustRightInd/>
              <w:snapToGrid/>
              <w:spacing w:line="360" w:lineRule="auto"/>
              <w:jc w:val="center"/>
              <w:textAlignment w:val="auto"/>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万元</w:t>
            </w:r>
          </w:p>
        </w:tc>
      </w:tr>
    </w:tbl>
    <w:p w14:paraId="3C2F123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cs="宋体"/>
          <w:sz w:val="24"/>
        </w:rPr>
        <w:t>询比范围</w:t>
      </w:r>
    </w:p>
    <w:p w14:paraId="58A95E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采购人经营过程中所需的</w:t>
      </w:r>
      <w:r>
        <w:rPr>
          <w:rFonts w:hint="eastAsia" w:ascii="宋体" w:hAnsi="宋体" w:cs="宋体"/>
          <w:sz w:val="24"/>
          <w:u w:val="single"/>
          <w:lang w:eastAsia="zh-CN"/>
        </w:rPr>
        <w:t>观光电瓶车</w:t>
      </w:r>
      <w:r>
        <w:rPr>
          <w:rFonts w:hint="eastAsia" w:ascii="宋体" w:hAnsi="宋体" w:cs="宋体"/>
          <w:sz w:val="24"/>
          <w:u w:val="single"/>
        </w:rPr>
        <w:t xml:space="preserve">采购 </w:t>
      </w:r>
      <w:r>
        <w:rPr>
          <w:rFonts w:hint="eastAsia" w:ascii="宋体" w:hAnsi="宋体" w:cs="宋体"/>
          <w:sz w:val="24"/>
        </w:rPr>
        <w:t>。</w:t>
      </w:r>
    </w:p>
    <w:p w14:paraId="6DF4A10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rPr>
      </w:pPr>
      <w:r>
        <w:rPr>
          <w:rFonts w:hint="eastAsia" w:ascii="宋体" w:hAnsi="宋体" w:cs="宋体"/>
          <w:sz w:val="24"/>
          <w:lang w:eastAsia="zh-CN"/>
        </w:rPr>
        <w:t>电瓶</w:t>
      </w:r>
      <w:r>
        <w:rPr>
          <w:rFonts w:hint="eastAsia" w:ascii="宋体" w:hAnsi="宋体" w:cs="宋体"/>
          <w:sz w:val="24"/>
        </w:rPr>
        <w:t>车参数要求</w:t>
      </w:r>
    </w:p>
    <w:tbl>
      <w:tblPr>
        <w:tblStyle w:val="7"/>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07"/>
        <w:gridCol w:w="716"/>
        <w:gridCol w:w="646"/>
        <w:gridCol w:w="6671"/>
      </w:tblGrid>
      <w:tr w14:paraId="1628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77" w:type="dxa"/>
            <w:noWrap w:val="0"/>
            <w:vAlign w:val="center"/>
          </w:tcPr>
          <w:p w14:paraId="23E1A152">
            <w:pPr>
              <w:jc w:val="center"/>
              <w:rPr>
                <w:rFonts w:hint="eastAsia" w:ascii="宋体" w:hAnsi="宋体" w:cs="宋体"/>
                <w:szCs w:val="21"/>
              </w:rPr>
            </w:pPr>
            <w:r>
              <w:rPr>
                <w:rFonts w:hint="eastAsia" w:ascii="宋体" w:hAnsi="宋体" w:cs="宋体"/>
                <w:szCs w:val="21"/>
              </w:rPr>
              <w:t>序号</w:t>
            </w:r>
          </w:p>
        </w:tc>
        <w:tc>
          <w:tcPr>
            <w:tcW w:w="1107" w:type="dxa"/>
            <w:noWrap w:val="0"/>
            <w:vAlign w:val="center"/>
          </w:tcPr>
          <w:p w14:paraId="6307FF93">
            <w:pPr>
              <w:jc w:val="center"/>
              <w:rPr>
                <w:rFonts w:hint="eastAsia" w:ascii="宋体" w:hAnsi="宋体" w:cs="宋体"/>
                <w:szCs w:val="21"/>
              </w:rPr>
            </w:pPr>
            <w:r>
              <w:rPr>
                <w:rFonts w:hint="eastAsia" w:ascii="宋体" w:hAnsi="宋体" w:cs="宋体"/>
                <w:szCs w:val="21"/>
              </w:rPr>
              <w:t>货物名称</w:t>
            </w:r>
          </w:p>
        </w:tc>
        <w:tc>
          <w:tcPr>
            <w:tcW w:w="716" w:type="dxa"/>
            <w:noWrap w:val="0"/>
            <w:vAlign w:val="center"/>
          </w:tcPr>
          <w:p w14:paraId="022FE751">
            <w:pPr>
              <w:jc w:val="center"/>
              <w:rPr>
                <w:rFonts w:hint="eastAsia" w:ascii="宋体" w:hAnsi="宋体" w:cs="宋体"/>
                <w:szCs w:val="21"/>
              </w:rPr>
            </w:pPr>
            <w:r>
              <w:rPr>
                <w:rFonts w:hint="eastAsia" w:ascii="宋体" w:hAnsi="宋体" w:cs="宋体"/>
                <w:szCs w:val="21"/>
              </w:rPr>
              <w:t>单位</w:t>
            </w:r>
          </w:p>
        </w:tc>
        <w:tc>
          <w:tcPr>
            <w:tcW w:w="646" w:type="dxa"/>
            <w:noWrap w:val="0"/>
            <w:vAlign w:val="center"/>
          </w:tcPr>
          <w:p w14:paraId="7F78A688">
            <w:pPr>
              <w:jc w:val="center"/>
              <w:rPr>
                <w:rFonts w:hint="eastAsia" w:ascii="宋体" w:hAnsi="宋体" w:cs="宋体"/>
                <w:szCs w:val="21"/>
              </w:rPr>
            </w:pPr>
            <w:r>
              <w:rPr>
                <w:rFonts w:hint="eastAsia" w:ascii="宋体" w:hAnsi="宋体" w:cs="宋体"/>
                <w:szCs w:val="21"/>
              </w:rPr>
              <w:t>数量</w:t>
            </w:r>
          </w:p>
        </w:tc>
        <w:tc>
          <w:tcPr>
            <w:tcW w:w="6671" w:type="dxa"/>
            <w:tcBorders>
              <w:left w:val="nil"/>
            </w:tcBorders>
            <w:noWrap w:val="0"/>
            <w:vAlign w:val="center"/>
          </w:tcPr>
          <w:p w14:paraId="1F2B2A8E">
            <w:pPr>
              <w:jc w:val="center"/>
              <w:rPr>
                <w:rFonts w:ascii="宋体" w:hAnsi="宋体"/>
                <w:szCs w:val="21"/>
              </w:rPr>
            </w:pPr>
            <w:r>
              <w:rPr>
                <w:rFonts w:hint="eastAsia" w:ascii="宋体" w:hAnsi="宋体" w:cs="宋体"/>
                <w:kern w:val="0"/>
                <w:szCs w:val="21"/>
              </w:rPr>
              <w:t>详细技术参数及配备要求</w:t>
            </w:r>
          </w:p>
        </w:tc>
      </w:tr>
      <w:tr w14:paraId="1748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7" w:type="dxa"/>
            <w:tcBorders>
              <w:top w:val="nil"/>
              <w:bottom w:val="single" w:color="auto" w:sz="4" w:space="0"/>
            </w:tcBorders>
            <w:noWrap w:val="0"/>
            <w:vAlign w:val="top"/>
          </w:tcPr>
          <w:p w14:paraId="52306422">
            <w:pPr>
              <w:widowControl/>
              <w:jc w:val="center"/>
              <w:rPr>
                <w:rFonts w:hint="eastAsia" w:ascii="宋体" w:hAnsi="Calibri" w:cs="宋体"/>
                <w:kern w:val="0"/>
                <w:szCs w:val="21"/>
              </w:rPr>
            </w:pPr>
          </w:p>
          <w:p w14:paraId="5FF1F834">
            <w:pPr>
              <w:widowControl/>
              <w:jc w:val="center"/>
              <w:rPr>
                <w:rFonts w:hint="eastAsia" w:ascii="宋体" w:hAnsi="Calibri" w:cs="宋体"/>
                <w:kern w:val="0"/>
                <w:szCs w:val="21"/>
              </w:rPr>
            </w:pPr>
          </w:p>
          <w:p w14:paraId="0189E5CA">
            <w:pPr>
              <w:widowControl/>
              <w:jc w:val="center"/>
              <w:rPr>
                <w:rFonts w:hint="eastAsia" w:ascii="宋体" w:hAnsi="Calibri" w:cs="宋体"/>
                <w:kern w:val="0"/>
                <w:szCs w:val="21"/>
              </w:rPr>
            </w:pPr>
          </w:p>
          <w:p w14:paraId="3F20AB61">
            <w:pPr>
              <w:widowControl/>
              <w:jc w:val="center"/>
              <w:rPr>
                <w:rFonts w:hint="eastAsia" w:ascii="宋体" w:hAnsi="Calibri" w:cs="宋体"/>
                <w:kern w:val="0"/>
                <w:szCs w:val="21"/>
              </w:rPr>
            </w:pPr>
          </w:p>
          <w:p w14:paraId="18EA7504">
            <w:pPr>
              <w:widowControl/>
              <w:jc w:val="center"/>
              <w:rPr>
                <w:rFonts w:hint="eastAsia" w:ascii="宋体" w:hAnsi="Calibri" w:cs="宋体"/>
                <w:kern w:val="0"/>
                <w:szCs w:val="21"/>
              </w:rPr>
            </w:pPr>
          </w:p>
          <w:p w14:paraId="3E20C8D2">
            <w:pPr>
              <w:widowControl/>
              <w:jc w:val="center"/>
              <w:rPr>
                <w:rFonts w:hint="eastAsia" w:ascii="宋体" w:hAnsi="Calibri" w:cs="宋体"/>
                <w:kern w:val="0"/>
                <w:szCs w:val="21"/>
              </w:rPr>
            </w:pPr>
          </w:p>
          <w:p w14:paraId="0016EDD8">
            <w:pPr>
              <w:widowControl/>
              <w:jc w:val="center"/>
              <w:rPr>
                <w:rFonts w:hint="eastAsia" w:ascii="宋体" w:hAnsi="Calibri" w:cs="宋体"/>
                <w:kern w:val="0"/>
                <w:szCs w:val="21"/>
              </w:rPr>
            </w:pPr>
          </w:p>
          <w:p w14:paraId="2AD3B836">
            <w:pPr>
              <w:widowControl/>
              <w:jc w:val="center"/>
              <w:rPr>
                <w:rFonts w:hint="eastAsia" w:ascii="宋体" w:hAnsi="Calibri" w:cs="宋体"/>
                <w:kern w:val="0"/>
                <w:szCs w:val="21"/>
              </w:rPr>
            </w:pPr>
          </w:p>
          <w:p w14:paraId="250CFDC4">
            <w:pPr>
              <w:widowControl/>
              <w:jc w:val="center"/>
              <w:rPr>
                <w:rFonts w:hint="eastAsia" w:ascii="宋体" w:hAnsi="Calibri" w:cs="宋体"/>
                <w:kern w:val="0"/>
                <w:szCs w:val="21"/>
              </w:rPr>
            </w:pPr>
          </w:p>
          <w:p w14:paraId="66AC5383">
            <w:pPr>
              <w:widowControl/>
              <w:jc w:val="center"/>
              <w:rPr>
                <w:rFonts w:hint="eastAsia" w:ascii="宋体" w:hAnsi="Calibri" w:cs="宋体"/>
                <w:kern w:val="0"/>
                <w:szCs w:val="21"/>
              </w:rPr>
            </w:pPr>
          </w:p>
          <w:p w14:paraId="14E86A5F">
            <w:pPr>
              <w:widowControl/>
              <w:jc w:val="center"/>
              <w:rPr>
                <w:rFonts w:hint="eastAsia" w:ascii="宋体" w:hAnsi="Calibri" w:cs="宋体"/>
                <w:kern w:val="0"/>
                <w:szCs w:val="21"/>
              </w:rPr>
            </w:pPr>
          </w:p>
          <w:p w14:paraId="40487666">
            <w:pPr>
              <w:widowControl/>
              <w:jc w:val="center"/>
              <w:rPr>
                <w:rFonts w:hint="eastAsia" w:ascii="宋体" w:hAnsi="Calibri" w:cs="宋体"/>
                <w:kern w:val="0"/>
                <w:szCs w:val="21"/>
              </w:rPr>
            </w:pPr>
          </w:p>
          <w:p w14:paraId="6D90287E">
            <w:pPr>
              <w:widowControl/>
              <w:jc w:val="center"/>
              <w:rPr>
                <w:rFonts w:hint="default" w:ascii="宋体" w:hAnsi="Calibri" w:eastAsia="宋体" w:cs="宋体"/>
                <w:kern w:val="0"/>
                <w:szCs w:val="21"/>
                <w:lang w:val="en-US" w:eastAsia="zh-CN"/>
              </w:rPr>
            </w:pPr>
            <w:r>
              <w:rPr>
                <w:rFonts w:hint="eastAsia" w:ascii="宋体" w:eastAsia="宋体" w:cs="宋体"/>
                <w:kern w:val="0"/>
                <w:szCs w:val="21"/>
                <w:lang w:val="en-US" w:eastAsia="zh-CN"/>
              </w:rPr>
              <w:t>1</w:t>
            </w:r>
          </w:p>
        </w:tc>
        <w:tc>
          <w:tcPr>
            <w:tcW w:w="1107" w:type="dxa"/>
            <w:tcBorders>
              <w:top w:val="nil"/>
              <w:bottom w:val="single" w:color="auto" w:sz="4" w:space="0"/>
            </w:tcBorders>
            <w:noWrap w:val="0"/>
            <w:vAlign w:val="top"/>
          </w:tcPr>
          <w:p w14:paraId="3C05444B">
            <w:pPr>
              <w:widowControl/>
              <w:jc w:val="center"/>
              <w:rPr>
                <w:rFonts w:hint="eastAsia" w:ascii="宋体" w:hAnsi="Calibri" w:cs="宋体"/>
                <w:kern w:val="0"/>
                <w:szCs w:val="21"/>
              </w:rPr>
            </w:pPr>
          </w:p>
          <w:p w14:paraId="65D51D17">
            <w:pPr>
              <w:widowControl/>
              <w:jc w:val="center"/>
              <w:rPr>
                <w:rFonts w:hint="eastAsia" w:ascii="宋体" w:hAnsi="Calibri" w:cs="宋体"/>
                <w:kern w:val="0"/>
                <w:szCs w:val="21"/>
              </w:rPr>
            </w:pPr>
          </w:p>
          <w:p w14:paraId="6F207E4D">
            <w:pPr>
              <w:widowControl/>
              <w:jc w:val="center"/>
              <w:rPr>
                <w:rFonts w:hint="eastAsia" w:ascii="宋体" w:hAnsi="Calibri" w:cs="宋体"/>
                <w:kern w:val="0"/>
                <w:szCs w:val="21"/>
              </w:rPr>
            </w:pPr>
          </w:p>
          <w:p w14:paraId="0878DF36">
            <w:pPr>
              <w:widowControl/>
              <w:jc w:val="center"/>
              <w:rPr>
                <w:rFonts w:hint="eastAsia" w:ascii="宋体" w:hAnsi="Calibri" w:cs="宋体"/>
                <w:kern w:val="0"/>
                <w:szCs w:val="21"/>
              </w:rPr>
            </w:pPr>
          </w:p>
          <w:p w14:paraId="33992BD7">
            <w:pPr>
              <w:widowControl/>
              <w:jc w:val="center"/>
              <w:rPr>
                <w:rFonts w:hint="eastAsia" w:ascii="宋体" w:hAnsi="Calibri" w:cs="宋体"/>
                <w:kern w:val="0"/>
                <w:szCs w:val="21"/>
              </w:rPr>
            </w:pPr>
          </w:p>
          <w:p w14:paraId="2BEF71EB">
            <w:pPr>
              <w:widowControl/>
              <w:jc w:val="center"/>
              <w:rPr>
                <w:rFonts w:hint="eastAsia" w:ascii="宋体" w:hAnsi="Calibri" w:cs="宋体"/>
                <w:kern w:val="0"/>
                <w:szCs w:val="21"/>
              </w:rPr>
            </w:pPr>
          </w:p>
          <w:p w14:paraId="09ED04A0">
            <w:pPr>
              <w:widowControl/>
              <w:jc w:val="center"/>
              <w:rPr>
                <w:rFonts w:hint="eastAsia" w:ascii="宋体" w:hAnsi="Calibri" w:cs="宋体"/>
                <w:kern w:val="0"/>
                <w:szCs w:val="21"/>
              </w:rPr>
            </w:pPr>
          </w:p>
          <w:p w14:paraId="0157F26A">
            <w:pPr>
              <w:widowControl/>
              <w:jc w:val="center"/>
              <w:rPr>
                <w:rFonts w:hint="eastAsia" w:ascii="宋体" w:hAnsi="Calibri" w:cs="宋体"/>
                <w:kern w:val="0"/>
                <w:szCs w:val="21"/>
              </w:rPr>
            </w:pPr>
          </w:p>
          <w:p w14:paraId="14C423BD">
            <w:pPr>
              <w:widowControl/>
              <w:jc w:val="center"/>
              <w:rPr>
                <w:rFonts w:hint="eastAsia" w:ascii="宋体" w:hAnsi="Calibri" w:cs="宋体"/>
                <w:kern w:val="0"/>
                <w:szCs w:val="21"/>
              </w:rPr>
            </w:pPr>
          </w:p>
          <w:p w14:paraId="37499A75">
            <w:pPr>
              <w:widowControl/>
              <w:jc w:val="center"/>
              <w:rPr>
                <w:rFonts w:hint="eastAsia" w:ascii="宋体" w:hAnsi="Calibri" w:cs="宋体"/>
                <w:kern w:val="0"/>
                <w:szCs w:val="21"/>
              </w:rPr>
            </w:pPr>
          </w:p>
          <w:p w14:paraId="7C4CD169">
            <w:pPr>
              <w:widowControl/>
              <w:jc w:val="center"/>
              <w:rPr>
                <w:rFonts w:hint="eastAsia" w:ascii="宋体" w:hAnsi="Calibri" w:cs="宋体"/>
                <w:kern w:val="0"/>
                <w:szCs w:val="21"/>
              </w:rPr>
            </w:pPr>
          </w:p>
          <w:p w14:paraId="45EE48D2">
            <w:pPr>
              <w:widowControl/>
              <w:jc w:val="center"/>
              <w:rPr>
                <w:rFonts w:hint="eastAsia" w:ascii="宋体" w:hAnsi="Calibri" w:cs="宋体"/>
                <w:kern w:val="0"/>
                <w:szCs w:val="21"/>
              </w:rPr>
            </w:pPr>
          </w:p>
          <w:p w14:paraId="609409C8">
            <w:pPr>
              <w:widowControl/>
              <w:jc w:val="center"/>
              <w:rPr>
                <w:rFonts w:hint="eastAsia" w:ascii="宋体" w:hAnsi="Calibri" w:cs="宋体"/>
                <w:kern w:val="0"/>
                <w:szCs w:val="21"/>
              </w:rPr>
            </w:pPr>
            <w:r>
              <w:rPr>
                <w:rFonts w:hint="eastAsia" w:ascii="宋体" w:hAnsi="Calibri" w:cs="宋体"/>
                <w:kern w:val="0"/>
                <w:szCs w:val="21"/>
              </w:rPr>
              <w:t>锂电观光车</w:t>
            </w:r>
          </w:p>
        </w:tc>
        <w:tc>
          <w:tcPr>
            <w:tcW w:w="716" w:type="dxa"/>
            <w:tcBorders>
              <w:top w:val="nil"/>
              <w:bottom w:val="single" w:color="auto" w:sz="4" w:space="0"/>
            </w:tcBorders>
            <w:noWrap w:val="0"/>
            <w:vAlign w:val="center"/>
          </w:tcPr>
          <w:p w14:paraId="4C432374">
            <w:pPr>
              <w:widowControl/>
              <w:jc w:val="center"/>
              <w:rPr>
                <w:rFonts w:hint="eastAsia" w:ascii="宋体" w:hAnsi="Calibri" w:cs="宋体"/>
                <w:kern w:val="0"/>
                <w:szCs w:val="21"/>
              </w:rPr>
            </w:pPr>
          </w:p>
          <w:p w14:paraId="4EB78A43">
            <w:pPr>
              <w:widowControl/>
              <w:jc w:val="center"/>
              <w:rPr>
                <w:rFonts w:hint="eastAsia" w:ascii="宋体" w:hAnsi="Calibri" w:cs="宋体"/>
                <w:kern w:val="0"/>
                <w:szCs w:val="21"/>
              </w:rPr>
            </w:pPr>
          </w:p>
          <w:p w14:paraId="15E7E0EC">
            <w:pPr>
              <w:widowControl/>
              <w:jc w:val="center"/>
              <w:rPr>
                <w:rFonts w:hint="eastAsia" w:ascii="宋体" w:hAnsi="Calibri" w:cs="宋体"/>
                <w:kern w:val="0"/>
                <w:szCs w:val="21"/>
              </w:rPr>
            </w:pPr>
          </w:p>
          <w:p w14:paraId="12A25072">
            <w:pPr>
              <w:widowControl/>
              <w:jc w:val="center"/>
              <w:rPr>
                <w:rFonts w:hint="eastAsia" w:ascii="宋体" w:hAnsi="Calibri" w:cs="宋体"/>
                <w:kern w:val="0"/>
                <w:szCs w:val="21"/>
              </w:rPr>
            </w:pPr>
          </w:p>
          <w:p w14:paraId="1AD9A650">
            <w:pPr>
              <w:widowControl/>
              <w:jc w:val="center"/>
              <w:rPr>
                <w:rFonts w:hint="eastAsia" w:ascii="宋体" w:hAnsi="Calibri" w:cs="宋体"/>
                <w:kern w:val="0"/>
                <w:szCs w:val="21"/>
              </w:rPr>
            </w:pPr>
            <w:r>
              <w:rPr>
                <w:rFonts w:hint="eastAsia" w:ascii="宋体" w:hAnsi="Calibri" w:cs="宋体"/>
                <w:kern w:val="0"/>
                <w:szCs w:val="21"/>
              </w:rPr>
              <w:t>辆</w:t>
            </w:r>
          </w:p>
        </w:tc>
        <w:tc>
          <w:tcPr>
            <w:tcW w:w="646" w:type="dxa"/>
            <w:tcBorders>
              <w:top w:val="nil"/>
              <w:bottom w:val="single" w:color="auto" w:sz="4" w:space="0"/>
            </w:tcBorders>
            <w:noWrap w:val="0"/>
            <w:vAlign w:val="center"/>
          </w:tcPr>
          <w:p w14:paraId="729904EC">
            <w:pPr>
              <w:widowControl/>
              <w:jc w:val="center"/>
              <w:rPr>
                <w:rFonts w:hint="eastAsia" w:ascii="宋体" w:eastAsia="宋体" w:cs="宋体"/>
                <w:kern w:val="0"/>
                <w:szCs w:val="21"/>
                <w:lang w:val="en-US" w:eastAsia="zh-CN"/>
              </w:rPr>
            </w:pPr>
          </w:p>
          <w:p w14:paraId="4FC2D098">
            <w:pPr>
              <w:widowControl/>
              <w:jc w:val="center"/>
              <w:rPr>
                <w:rFonts w:hint="eastAsia" w:ascii="宋体" w:eastAsia="宋体" w:cs="宋体"/>
                <w:kern w:val="0"/>
                <w:szCs w:val="21"/>
                <w:lang w:val="en-US" w:eastAsia="zh-CN"/>
              </w:rPr>
            </w:pPr>
          </w:p>
          <w:p w14:paraId="640A79BC">
            <w:pPr>
              <w:widowControl/>
              <w:jc w:val="center"/>
              <w:rPr>
                <w:rFonts w:hint="eastAsia" w:ascii="宋体" w:eastAsia="宋体" w:cs="宋体"/>
                <w:kern w:val="0"/>
                <w:szCs w:val="21"/>
                <w:lang w:val="en-US" w:eastAsia="zh-CN"/>
              </w:rPr>
            </w:pPr>
          </w:p>
          <w:p w14:paraId="7A18C94F">
            <w:pPr>
              <w:widowControl/>
              <w:jc w:val="center"/>
              <w:rPr>
                <w:rFonts w:hint="eastAsia" w:ascii="宋体" w:eastAsia="宋体" w:cs="宋体"/>
                <w:kern w:val="0"/>
                <w:szCs w:val="21"/>
                <w:lang w:val="en-US" w:eastAsia="zh-CN"/>
              </w:rPr>
            </w:pPr>
          </w:p>
          <w:p w14:paraId="5A8E1BF6">
            <w:pPr>
              <w:widowControl/>
              <w:jc w:val="center"/>
              <w:rPr>
                <w:rFonts w:hint="default" w:ascii="宋体" w:hAnsi="Calibri" w:eastAsia="宋体" w:cs="宋体"/>
                <w:kern w:val="0"/>
                <w:szCs w:val="21"/>
                <w:lang w:val="en-US" w:eastAsia="zh-CN"/>
              </w:rPr>
            </w:pPr>
            <w:r>
              <w:rPr>
                <w:rFonts w:hint="eastAsia" w:ascii="宋体" w:eastAsia="宋体" w:cs="宋体"/>
                <w:kern w:val="0"/>
                <w:szCs w:val="21"/>
                <w:lang w:val="en-US" w:eastAsia="zh-CN"/>
              </w:rPr>
              <w:t>1</w:t>
            </w:r>
          </w:p>
        </w:tc>
        <w:tc>
          <w:tcPr>
            <w:tcW w:w="6671" w:type="dxa"/>
            <w:tcBorders>
              <w:top w:val="nil"/>
              <w:left w:val="nil"/>
              <w:bottom w:val="single" w:color="auto" w:sz="4" w:space="0"/>
            </w:tcBorders>
            <w:noWrap w:val="0"/>
            <w:vAlign w:val="center"/>
          </w:tcPr>
          <w:p w14:paraId="5AC5D0C6">
            <w:pPr>
              <w:spacing w:line="360" w:lineRule="auto"/>
              <w:outlineLvl w:val="0"/>
              <w:rPr>
                <w:rFonts w:hint="eastAsia" w:ascii="宋体" w:hAnsi="宋体"/>
                <w:szCs w:val="21"/>
              </w:rPr>
            </w:pPr>
            <w:bookmarkStart w:id="12" w:name="_Toc22843"/>
            <w:bookmarkStart w:id="13" w:name="_Toc10642"/>
            <w:r>
              <w:rPr>
                <w:rFonts w:hint="eastAsia" w:ascii="宋体" w:hAnsi="宋体"/>
                <w:szCs w:val="21"/>
              </w:rPr>
              <w:t>一、总体要求：</w:t>
            </w:r>
            <w:bookmarkEnd w:id="12"/>
            <w:bookmarkEnd w:id="13"/>
          </w:p>
          <w:p w14:paraId="1921BCF4">
            <w:pPr>
              <w:spacing w:line="360" w:lineRule="auto"/>
              <w:outlineLvl w:val="0"/>
              <w:rPr>
                <w:rFonts w:hint="default" w:ascii="宋体" w:hAnsi="宋体" w:eastAsia="宋体" w:cs="Times New Roman"/>
                <w:szCs w:val="21"/>
                <w:lang w:val="en-US" w:eastAsia="zh-CN"/>
              </w:rPr>
            </w:pPr>
            <w:bookmarkStart w:id="14" w:name="_Toc15882"/>
            <w:bookmarkStart w:id="15" w:name="_Toc14"/>
            <w:r>
              <w:rPr>
                <w:rFonts w:hint="eastAsia" w:ascii="宋体" w:hAnsi="宋体"/>
                <w:szCs w:val="21"/>
                <w:lang w:val="en-US" w:eastAsia="zh-CN"/>
              </w:rPr>
              <w:t>1.</w:t>
            </w:r>
            <w:r>
              <w:rPr>
                <w:rFonts w:hint="eastAsia" w:ascii="宋体" w:hAnsi="宋体" w:eastAsia="宋体" w:cs="Times New Roman"/>
                <w:szCs w:val="21"/>
                <w:lang w:val="en-US" w:eastAsia="zh-CN"/>
              </w:rPr>
              <w:t>外形尺寸：3.75m≤长≤4.5m；1.4m≤宽≤1.8m；2m≤高≤2.3m</w:t>
            </w:r>
            <w:bookmarkEnd w:id="14"/>
            <w:bookmarkEnd w:id="15"/>
          </w:p>
          <w:p w14:paraId="571C9D45">
            <w:pPr>
              <w:spacing w:line="360" w:lineRule="auto"/>
              <w:outlineLvl w:val="0"/>
              <w:rPr>
                <w:rFonts w:hint="eastAsia" w:ascii="宋体" w:hAnsi="宋体" w:eastAsia="宋体" w:cs="Times New Roman"/>
                <w:szCs w:val="21"/>
                <w:lang w:val="en-US" w:eastAsia="zh-CN"/>
              </w:rPr>
            </w:pPr>
            <w:bookmarkStart w:id="16" w:name="_Toc3023"/>
            <w:bookmarkStart w:id="17" w:name="_Toc11802"/>
            <w:r>
              <w:rPr>
                <w:rFonts w:hint="eastAsia" w:ascii="宋体" w:hAnsi="宋体" w:eastAsia="宋体" w:cs="Times New Roman"/>
                <w:szCs w:val="21"/>
                <w:lang w:val="en-US" w:eastAsia="zh-CN"/>
              </w:rPr>
              <w:t>2.额定载客：8人（含驾驶员）</w:t>
            </w:r>
            <w:bookmarkEnd w:id="16"/>
            <w:bookmarkEnd w:id="17"/>
          </w:p>
          <w:p w14:paraId="7A994959">
            <w:pPr>
              <w:spacing w:line="360" w:lineRule="auto"/>
              <w:outlineLvl w:val="0"/>
              <w:rPr>
                <w:rFonts w:hint="default" w:ascii="宋体" w:hAnsi="宋体" w:eastAsia="宋体" w:cs="Times New Roman"/>
                <w:szCs w:val="21"/>
                <w:lang w:val="en-US" w:eastAsia="zh-CN"/>
              </w:rPr>
            </w:pPr>
            <w:bookmarkStart w:id="18" w:name="_Toc6173"/>
            <w:bookmarkStart w:id="19" w:name="_Toc21284"/>
            <w:r>
              <w:rPr>
                <w:rFonts w:hint="eastAsia" w:ascii="宋体" w:hAnsi="宋体" w:eastAsia="宋体" w:cs="Times New Roman"/>
                <w:szCs w:val="21"/>
                <w:lang w:val="en-US" w:eastAsia="zh-CN"/>
              </w:rPr>
              <w:t>3.满载续驶里程≥80km，满载爬坡度≥15%</w:t>
            </w:r>
            <w:bookmarkEnd w:id="18"/>
            <w:bookmarkEnd w:id="19"/>
          </w:p>
          <w:p w14:paraId="35C5F63B">
            <w:pPr>
              <w:spacing w:line="360" w:lineRule="auto"/>
              <w:outlineLvl w:val="0"/>
              <w:rPr>
                <w:rFonts w:hint="default" w:ascii="宋体" w:hAnsi="宋体" w:eastAsia="宋体" w:cs="Times New Roman"/>
                <w:szCs w:val="21"/>
                <w:lang w:val="en-US" w:eastAsia="zh-CN"/>
              </w:rPr>
            </w:pPr>
            <w:bookmarkStart w:id="20" w:name="_Toc3317"/>
            <w:bookmarkStart w:id="21" w:name="_Toc21062"/>
            <w:r>
              <w:rPr>
                <w:rFonts w:hint="eastAsia" w:ascii="宋体" w:hAnsi="宋体" w:eastAsia="宋体" w:cs="Times New Roman"/>
                <w:szCs w:val="21"/>
                <w:lang w:val="en-US" w:eastAsia="zh-CN"/>
              </w:rPr>
              <w:t>4.充电时间≤10h</w:t>
            </w:r>
            <w:bookmarkEnd w:id="20"/>
            <w:bookmarkEnd w:id="21"/>
          </w:p>
          <w:p w14:paraId="3F3E2F8F">
            <w:pPr>
              <w:spacing w:line="360" w:lineRule="auto"/>
              <w:outlineLvl w:val="0"/>
              <w:rPr>
                <w:rFonts w:hint="eastAsia" w:ascii="宋体" w:hAnsi="宋体" w:eastAsia="宋体" w:cs="Times New Roman"/>
                <w:szCs w:val="21"/>
                <w:lang w:val="en-US" w:eastAsia="zh-CN"/>
              </w:rPr>
            </w:pPr>
            <w:bookmarkStart w:id="22" w:name="_Toc24658"/>
            <w:bookmarkStart w:id="23" w:name="_Toc10198"/>
            <w:r>
              <w:rPr>
                <w:rFonts w:hint="eastAsia" w:ascii="宋体" w:hAnsi="宋体" w:eastAsia="宋体" w:cs="Times New Roman"/>
                <w:szCs w:val="21"/>
                <w:lang w:val="en-US" w:eastAsia="zh-CN"/>
              </w:rPr>
              <w:t>5.充电器：配一个锂电池专用充电器,电压220v</w:t>
            </w:r>
            <w:bookmarkEnd w:id="22"/>
            <w:bookmarkEnd w:id="23"/>
          </w:p>
          <w:p w14:paraId="19828024">
            <w:pPr>
              <w:spacing w:line="360" w:lineRule="auto"/>
              <w:outlineLvl w:val="0"/>
              <w:rPr>
                <w:rFonts w:hint="default" w:ascii="宋体" w:hAnsi="宋体" w:eastAsia="宋体" w:cs="Times New Roman"/>
                <w:szCs w:val="21"/>
                <w:lang w:val="en-US" w:eastAsia="zh-CN"/>
              </w:rPr>
            </w:pPr>
            <w:bookmarkStart w:id="24" w:name="_Toc22245"/>
            <w:bookmarkStart w:id="25" w:name="_Toc20812"/>
            <w:r>
              <w:rPr>
                <w:rFonts w:hint="eastAsia" w:ascii="宋体" w:hAnsi="宋体" w:eastAsia="宋体" w:cs="Times New Roman"/>
                <w:szCs w:val="21"/>
                <w:lang w:val="en-US" w:eastAsia="zh-CN"/>
              </w:rPr>
              <w:t>6.最大载重≥600kg</w:t>
            </w:r>
            <w:bookmarkEnd w:id="24"/>
            <w:bookmarkEnd w:id="25"/>
          </w:p>
          <w:p w14:paraId="6C380AA1">
            <w:pPr>
              <w:spacing w:line="360" w:lineRule="auto"/>
              <w:outlineLvl w:val="0"/>
              <w:rPr>
                <w:rFonts w:hint="eastAsia" w:ascii="宋体" w:hAnsi="宋体"/>
                <w:szCs w:val="21"/>
              </w:rPr>
            </w:pPr>
            <w:bookmarkStart w:id="26" w:name="_Toc13491"/>
            <w:bookmarkStart w:id="27" w:name="_Toc18132"/>
            <w:r>
              <w:rPr>
                <w:rFonts w:hint="eastAsia" w:ascii="宋体" w:hAnsi="宋体"/>
                <w:szCs w:val="21"/>
              </w:rPr>
              <w:t>二、底盘要求：</w:t>
            </w:r>
            <w:bookmarkEnd w:id="26"/>
            <w:bookmarkEnd w:id="27"/>
          </w:p>
          <w:p w14:paraId="7BAB2A52">
            <w:pPr>
              <w:spacing w:line="360" w:lineRule="auto"/>
              <w:outlineLvl w:val="0"/>
              <w:rPr>
                <w:rFonts w:hint="eastAsia" w:ascii="宋体" w:hAnsi="宋体"/>
                <w:szCs w:val="21"/>
                <w:lang w:val="en-US" w:eastAsia="zh-CN"/>
              </w:rPr>
            </w:pPr>
            <w:bookmarkStart w:id="28" w:name="_Toc4206"/>
            <w:bookmarkStart w:id="29" w:name="_Toc19234"/>
            <w:r>
              <w:rPr>
                <w:rFonts w:hint="eastAsia" w:ascii="宋体" w:hAnsi="宋体"/>
                <w:szCs w:val="21"/>
                <w:lang w:val="en-US" w:eastAsia="zh-CN"/>
              </w:rPr>
              <w:t>1.</w:t>
            </w:r>
            <w:r>
              <w:rPr>
                <w:rFonts w:hint="eastAsia" w:ascii="宋体" w:hAnsi="宋体"/>
                <w:szCs w:val="21"/>
              </w:rPr>
              <w:t>车架：高强度钢焊接式车架，整体</w:t>
            </w:r>
            <w:r>
              <w:rPr>
                <w:rFonts w:hint="eastAsia" w:ascii="宋体" w:hAnsi="宋体"/>
                <w:szCs w:val="21"/>
                <w:lang w:val="en-US" w:eastAsia="zh-CN"/>
              </w:rPr>
              <w:t>防锈烤漆</w:t>
            </w:r>
            <w:bookmarkEnd w:id="28"/>
            <w:bookmarkEnd w:id="29"/>
          </w:p>
          <w:p w14:paraId="1DC3F467">
            <w:pPr>
              <w:spacing w:line="360" w:lineRule="auto"/>
              <w:outlineLvl w:val="0"/>
              <w:rPr>
                <w:rFonts w:hint="default" w:ascii="宋体" w:hAnsi="宋体" w:eastAsia="宋体"/>
                <w:szCs w:val="21"/>
                <w:lang w:val="en-US" w:eastAsia="zh-CN"/>
              </w:rPr>
            </w:pPr>
            <w:bookmarkStart w:id="30" w:name="_Toc12445"/>
            <w:bookmarkStart w:id="31" w:name="_Toc8084"/>
            <w:r>
              <w:rPr>
                <w:rFonts w:hint="eastAsia" w:ascii="宋体" w:hAnsi="宋体"/>
                <w:szCs w:val="21"/>
                <w:lang w:val="en-US" w:eastAsia="zh-CN"/>
              </w:rPr>
              <w:t>2.</w:t>
            </w:r>
            <w:r>
              <w:rPr>
                <w:rFonts w:hint="eastAsia" w:ascii="宋体" w:hAnsi="宋体"/>
                <w:szCs w:val="21"/>
              </w:rPr>
              <w:t>制动系统：前盘后鼓液压制动，带电子真空助力系统</w:t>
            </w:r>
            <w:r>
              <w:rPr>
                <w:rFonts w:hint="eastAsia" w:ascii="宋体" w:hAnsi="宋体"/>
                <w:szCs w:val="21"/>
                <w:lang w:eastAsia="zh-CN"/>
              </w:rPr>
              <w:t>，</w:t>
            </w:r>
            <w:r>
              <w:rPr>
                <w:rFonts w:hint="eastAsia" w:ascii="宋体" w:hAnsi="宋体"/>
                <w:szCs w:val="21"/>
                <w:lang w:val="en-US" w:eastAsia="zh-CN"/>
              </w:rPr>
              <w:t>独立驻车制动</w:t>
            </w:r>
            <w:bookmarkEnd w:id="30"/>
            <w:bookmarkEnd w:id="31"/>
          </w:p>
          <w:p w14:paraId="4E6CF6E7">
            <w:pPr>
              <w:spacing w:line="360" w:lineRule="auto"/>
              <w:outlineLvl w:val="0"/>
              <w:rPr>
                <w:rFonts w:ascii="宋体" w:hAnsi="宋体"/>
                <w:szCs w:val="21"/>
              </w:rPr>
            </w:pPr>
            <w:bookmarkStart w:id="32" w:name="_Toc9819"/>
            <w:bookmarkStart w:id="33" w:name="_Toc9496"/>
            <w:r>
              <w:rPr>
                <w:rFonts w:hint="eastAsia" w:ascii="宋体" w:hAnsi="宋体"/>
                <w:szCs w:val="21"/>
                <w:lang w:val="en-US" w:eastAsia="zh-CN"/>
              </w:rPr>
              <w:t>3.</w:t>
            </w:r>
            <w:r>
              <w:rPr>
                <w:rFonts w:hint="eastAsia" w:ascii="宋体" w:hAnsi="宋体"/>
                <w:szCs w:val="21"/>
              </w:rPr>
              <w:t>转向系统：齿轮齿条</w:t>
            </w:r>
            <w:r>
              <w:rPr>
                <w:rFonts w:hint="eastAsia" w:ascii="宋体" w:hAnsi="宋体"/>
                <w:szCs w:val="21"/>
                <w:lang w:val="en-US" w:eastAsia="zh-CN"/>
              </w:rPr>
              <w:t>式转向器</w:t>
            </w:r>
            <w:r>
              <w:rPr>
                <w:rFonts w:hint="eastAsia" w:ascii="宋体" w:hAnsi="宋体"/>
                <w:szCs w:val="21"/>
              </w:rPr>
              <w:t>，加电动转向助力系统</w:t>
            </w:r>
            <w:bookmarkEnd w:id="32"/>
            <w:bookmarkEnd w:id="33"/>
          </w:p>
          <w:p w14:paraId="3E8F3B01">
            <w:pPr>
              <w:spacing w:line="360" w:lineRule="auto"/>
              <w:outlineLvl w:val="0"/>
              <w:rPr>
                <w:rFonts w:hint="eastAsia" w:ascii="宋体" w:hAnsi="宋体"/>
                <w:szCs w:val="21"/>
                <w:lang w:val="en-US" w:eastAsia="zh-CN"/>
              </w:rPr>
            </w:pPr>
            <w:bookmarkStart w:id="34" w:name="_Toc12526"/>
            <w:bookmarkStart w:id="35" w:name="_Toc22323"/>
            <w:r>
              <w:rPr>
                <w:rFonts w:hint="eastAsia" w:ascii="宋体" w:hAnsi="宋体"/>
                <w:szCs w:val="21"/>
                <w:lang w:val="en-US" w:eastAsia="zh-CN"/>
              </w:rPr>
              <w:t>4.</w:t>
            </w:r>
            <w:r>
              <w:rPr>
                <w:rFonts w:hint="eastAsia" w:ascii="宋体" w:hAnsi="宋体"/>
                <w:szCs w:val="21"/>
              </w:rPr>
              <w:t>轮胎：宽度</w:t>
            </w:r>
            <w:r>
              <w:rPr>
                <w:rFonts w:hint="eastAsia" w:ascii="宋体" w:hAnsi="宋体"/>
                <w:szCs w:val="21"/>
                <w:lang w:val="en-US" w:eastAsia="zh-CN"/>
              </w:rPr>
              <w:t>165/70R13、165/70R14</w:t>
            </w:r>
            <w:bookmarkEnd w:id="34"/>
            <w:bookmarkEnd w:id="35"/>
          </w:p>
          <w:p w14:paraId="2B01B531">
            <w:pPr>
              <w:spacing w:line="360" w:lineRule="auto"/>
              <w:outlineLvl w:val="0"/>
              <w:rPr>
                <w:rFonts w:hint="eastAsia" w:ascii="宋体" w:hAnsi="宋体"/>
                <w:szCs w:val="21"/>
              </w:rPr>
            </w:pPr>
            <w:bookmarkStart w:id="36" w:name="_Toc22371"/>
            <w:bookmarkStart w:id="37" w:name="_Toc16832"/>
            <w:r>
              <w:rPr>
                <w:rFonts w:hint="eastAsia" w:ascii="宋体" w:hAnsi="宋体"/>
                <w:szCs w:val="21"/>
                <w:lang w:val="en-US" w:eastAsia="zh-CN"/>
              </w:rPr>
              <w:t>5.</w:t>
            </w:r>
            <w:r>
              <w:rPr>
                <w:rFonts w:hint="eastAsia" w:ascii="宋体" w:hAnsi="宋体"/>
                <w:szCs w:val="21"/>
              </w:rPr>
              <w:t>悬</w:t>
            </w:r>
            <w:r>
              <w:rPr>
                <w:rFonts w:hint="eastAsia" w:ascii="宋体" w:hAnsi="宋体"/>
                <w:szCs w:val="21"/>
                <w:lang w:val="en-US" w:eastAsia="zh-CN"/>
              </w:rPr>
              <w:t>架</w:t>
            </w:r>
            <w:r>
              <w:rPr>
                <w:rFonts w:hint="eastAsia" w:ascii="宋体" w:hAnsi="宋体"/>
                <w:szCs w:val="21"/>
              </w:rPr>
              <w:t>结构：独立悬架</w:t>
            </w:r>
            <w:r>
              <w:rPr>
                <w:rFonts w:hint="eastAsia" w:ascii="宋体" w:hAnsi="宋体"/>
                <w:szCs w:val="21"/>
                <w:lang w:val="en-US" w:eastAsia="zh-CN"/>
              </w:rPr>
              <w:t>系统</w:t>
            </w:r>
            <w:bookmarkEnd w:id="36"/>
            <w:bookmarkEnd w:id="37"/>
          </w:p>
          <w:p w14:paraId="082B67C3">
            <w:pPr>
              <w:spacing w:line="360" w:lineRule="auto"/>
              <w:outlineLvl w:val="0"/>
              <w:rPr>
                <w:rFonts w:hint="eastAsia" w:ascii="宋体" w:hAnsi="宋体"/>
                <w:szCs w:val="21"/>
              </w:rPr>
            </w:pPr>
            <w:bookmarkStart w:id="38" w:name="_Toc25049"/>
            <w:bookmarkStart w:id="39" w:name="_Toc14333"/>
            <w:r>
              <w:rPr>
                <w:rFonts w:hint="eastAsia" w:ascii="宋体" w:hAnsi="宋体"/>
                <w:szCs w:val="21"/>
              </w:rPr>
              <w:t>三、电器要求：</w:t>
            </w:r>
            <w:bookmarkEnd w:id="38"/>
            <w:bookmarkEnd w:id="39"/>
          </w:p>
          <w:p w14:paraId="08FABA73">
            <w:pPr>
              <w:spacing w:line="360" w:lineRule="auto"/>
              <w:outlineLvl w:val="0"/>
              <w:rPr>
                <w:rFonts w:hint="default" w:ascii="宋体" w:hAnsi="宋体"/>
                <w:szCs w:val="21"/>
                <w:lang w:val="en-US" w:eastAsia="zh-CN"/>
              </w:rPr>
            </w:pPr>
            <w:bookmarkStart w:id="40" w:name="_Toc7508"/>
            <w:bookmarkStart w:id="41" w:name="_Toc17563"/>
            <w:r>
              <w:rPr>
                <w:rFonts w:hint="eastAsia" w:ascii="宋体" w:hAnsi="宋体"/>
                <w:szCs w:val="21"/>
                <w:lang w:val="en-US" w:eastAsia="zh-CN"/>
              </w:rPr>
              <w:t>1.</w:t>
            </w:r>
            <w:r>
              <w:rPr>
                <w:rFonts w:hint="eastAsia" w:ascii="宋体" w:hAnsi="宋体"/>
                <w:szCs w:val="21"/>
              </w:rPr>
              <w:t>电机：</w:t>
            </w:r>
            <w:r>
              <w:rPr>
                <w:rFonts w:hint="eastAsia" w:ascii="宋体" w:hAnsi="宋体"/>
                <w:szCs w:val="21"/>
                <w:lang w:val="en-US" w:eastAsia="zh-CN"/>
              </w:rPr>
              <w:t>交流直驱</w:t>
            </w:r>
            <w:r>
              <w:rPr>
                <w:rFonts w:hint="eastAsia" w:ascii="宋体" w:hAnsi="宋体"/>
                <w:szCs w:val="21"/>
              </w:rPr>
              <w:t>≥</w:t>
            </w:r>
            <w:r>
              <w:rPr>
                <w:rFonts w:hint="eastAsia" w:ascii="宋体" w:hAnsi="宋体"/>
                <w:szCs w:val="21"/>
                <w:lang w:val="en-US" w:eastAsia="zh-CN"/>
              </w:rPr>
              <w:t>7.5kw</w:t>
            </w:r>
            <w:bookmarkEnd w:id="40"/>
            <w:bookmarkEnd w:id="41"/>
          </w:p>
          <w:p w14:paraId="68297B2C">
            <w:pPr>
              <w:spacing w:line="360" w:lineRule="auto"/>
              <w:outlineLvl w:val="0"/>
              <w:rPr>
                <w:rFonts w:hint="eastAsia" w:ascii="宋体" w:hAnsi="宋体"/>
                <w:szCs w:val="21"/>
                <w:lang w:val="en-US" w:eastAsia="zh-CN"/>
              </w:rPr>
            </w:pPr>
            <w:bookmarkStart w:id="42" w:name="_Toc7490"/>
            <w:bookmarkStart w:id="43" w:name="_Toc23979"/>
            <w:r>
              <w:rPr>
                <w:rFonts w:hint="eastAsia" w:ascii="宋体" w:hAnsi="宋体"/>
                <w:szCs w:val="21"/>
                <w:lang w:val="en-US" w:eastAsia="zh-CN"/>
              </w:rPr>
              <w:t>2.</w:t>
            </w:r>
            <w:r>
              <w:rPr>
                <w:rFonts w:hint="eastAsia" w:ascii="宋体" w:hAnsi="宋体"/>
                <w:szCs w:val="21"/>
              </w:rPr>
              <w:t>电控：</w:t>
            </w:r>
            <w:r>
              <w:rPr>
                <w:rFonts w:hint="eastAsia" w:ascii="宋体" w:hAnsi="宋体"/>
                <w:szCs w:val="21"/>
                <w:lang w:val="en-US" w:eastAsia="zh-CN"/>
              </w:rPr>
              <w:t>智能控制系统</w:t>
            </w:r>
            <w:bookmarkEnd w:id="42"/>
            <w:bookmarkEnd w:id="43"/>
          </w:p>
          <w:p w14:paraId="4F2EF4BB">
            <w:pPr>
              <w:spacing w:line="360" w:lineRule="auto"/>
              <w:outlineLvl w:val="0"/>
              <w:rPr>
                <w:rFonts w:ascii="宋体" w:hAnsi="宋体"/>
                <w:szCs w:val="21"/>
              </w:rPr>
            </w:pPr>
            <w:bookmarkStart w:id="44" w:name="_Toc14128"/>
            <w:bookmarkStart w:id="45" w:name="_Toc13641"/>
            <w:r>
              <w:rPr>
                <w:rFonts w:hint="eastAsia" w:ascii="宋体" w:hAnsi="宋体"/>
                <w:szCs w:val="21"/>
                <w:lang w:val="en-US" w:eastAsia="zh-CN"/>
              </w:rPr>
              <w:t>3.</w:t>
            </w:r>
            <w:r>
              <w:rPr>
                <w:rFonts w:hint="eastAsia" w:ascii="宋体" w:hAnsi="宋体"/>
                <w:szCs w:val="21"/>
              </w:rPr>
              <w:t>电池：一整块磷酸铁锂电池包，容量≥</w:t>
            </w:r>
            <w:r>
              <w:rPr>
                <w:rFonts w:hint="eastAsia" w:ascii="宋体" w:hAnsi="宋体"/>
                <w:szCs w:val="21"/>
                <w:lang w:val="en-US" w:eastAsia="zh-CN"/>
              </w:rPr>
              <w:t>230ah</w:t>
            </w:r>
            <w:r>
              <w:rPr>
                <w:rFonts w:ascii="宋体" w:hAnsi="宋体"/>
                <w:szCs w:val="21"/>
              </w:rPr>
              <w:t>,</w:t>
            </w:r>
            <w:r>
              <w:rPr>
                <w:rFonts w:hint="eastAsia" w:ascii="宋体" w:hAnsi="宋体"/>
                <w:szCs w:val="21"/>
                <w:lang w:val="en-US" w:eastAsia="zh-CN"/>
              </w:rPr>
              <w:t>电压</w:t>
            </w:r>
            <w:r>
              <w:rPr>
                <w:rFonts w:hint="eastAsia" w:ascii="宋体" w:hAnsi="宋体"/>
                <w:szCs w:val="21"/>
              </w:rPr>
              <w:t>≥</w:t>
            </w:r>
            <w:r>
              <w:rPr>
                <w:rFonts w:hint="eastAsia" w:ascii="宋体" w:hAnsi="宋体"/>
                <w:szCs w:val="21"/>
                <w:lang w:val="en-US" w:eastAsia="zh-CN"/>
              </w:rPr>
              <w:t>72v</w:t>
            </w:r>
            <w:r>
              <w:rPr>
                <w:rFonts w:hint="eastAsia" w:ascii="宋体" w:hAnsi="宋体"/>
                <w:szCs w:val="21"/>
              </w:rPr>
              <w:t>，质保</w:t>
            </w:r>
            <w:r>
              <w:rPr>
                <w:rFonts w:hint="eastAsia" w:ascii="宋体" w:hAnsi="宋体"/>
                <w:szCs w:val="21"/>
                <w:lang w:val="en-US" w:eastAsia="zh-CN"/>
              </w:rPr>
              <w:t>三</w:t>
            </w:r>
            <w:r>
              <w:rPr>
                <w:rFonts w:hint="eastAsia" w:ascii="宋体" w:hAnsi="宋体"/>
                <w:szCs w:val="21"/>
              </w:rPr>
              <w:t>年。</w:t>
            </w:r>
            <w:r>
              <w:rPr>
                <w:rFonts w:hint="eastAsia" w:ascii="宋体" w:hAnsi="宋体"/>
                <w:b/>
                <w:szCs w:val="21"/>
              </w:rPr>
              <w:t>不是锂电池的投标车型，取消投标资格。</w:t>
            </w:r>
            <w:bookmarkEnd w:id="44"/>
            <w:bookmarkEnd w:id="45"/>
          </w:p>
          <w:p w14:paraId="1F5CF9CF">
            <w:pPr>
              <w:spacing w:line="360" w:lineRule="auto"/>
              <w:outlineLvl w:val="0"/>
              <w:rPr>
                <w:rFonts w:ascii="宋体" w:hAnsi="宋体"/>
                <w:szCs w:val="21"/>
              </w:rPr>
            </w:pPr>
            <w:bookmarkStart w:id="46" w:name="_Toc22764"/>
            <w:bookmarkStart w:id="47" w:name="_Toc22583"/>
            <w:r>
              <w:rPr>
                <w:rFonts w:hint="eastAsia" w:ascii="宋体" w:hAnsi="宋体"/>
                <w:szCs w:val="21"/>
                <w:lang w:val="en-US" w:eastAsia="zh-CN"/>
              </w:rPr>
              <w:t>1.</w:t>
            </w:r>
            <w:r>
              <w:rPr>
                <w:rFonts w:hint="eastAsia" w:ascii="宋体" w:hAnsi="宋体"/>
                <w:szCs w:val="21"/>
              </w:rPr>
              <w:t>仪表：组合仪表带显示屏，最少能显示车速、转速、电流、电量、</w:t>
            </w:r>
            <w:r>
              <w:rPr>
                <w:rFonts w:hint="eastAsia" w:ascii="宋体" w:hAnsi="宋体"/>
                <w:szCs w:val="21"/>
                <w:lang w:val="en-US" w:eastAsia="zh-CN"/>
              </w:rPr>
              <w:t>倒车蜂鸣</w:t>
            </w:r>
            <w:r>
              <w:rPr>
                <w:rFonts w:hint="eastAsia" w:ascii="宋体" w:hAnsi="宋体"/>
                <w:szCs w:val="21"/>
              </w:rPr>
              <w:t>等信息。</w:t>
            </w:r>
            <w:bookmarkEnd w:id="46"/>
            <w:bookmarkEnd w:id="47"/>
          </w:p>
          <w:p w14:paraId="6E5D70A8">
            <w:pPr>
              <w:spacing w:line="360" w:lineRule="auto"/>
              <w:outlineLvl w:val="0"/>
              <w:rPr>
                <w:rFonts w:hint="eastAsia" w:ascii="宋体" w:hAnsi="宋体" w:eastAsia="宋体"/>
                <w:szCs w:val="21"/>
                <w:lang w:eastAsia="zh-CN"/>
              </w:rPr>
            </w:pPr>
            <w:bookmarkStart w:id="48" w:name="_Toc20813"/>
            <w:bookmarkStart w:id="49" w:name="_Toc22862"/>
            <w:r>
              <w:rPr>
                <w:rFonts w:hint="eastAsia" w:ascii="宋体" w:hAnsi="宋体"/>
                <w:szCs w:val="21"/>
                <w:lang w:val="en-US" w:eastAsia="zh-CN"/>
              </w:rPr>
              <w:t>2.转换器：</w:t>
            </w:r>
            <w:r>
              <w:rPr>
                <w:rFonts w:hint="eastAsia" w:ascii="宋体" w:hAnsi="宋体"/>
                <w:szCs w:val="21"/>
              </w:rPr>
              <w:t>DC转换器</w:t>
            </w:r>
            <w:bookmarkEnd w:id="48"/>
            <w:bookmarkEnd w:id="49"/>
          </w:p>
          <w:p w14:paraId="28B5CD67">
            <w:pPr>
              <w:spacing w:line="360" w:lineRule="auto"/>
              <w:outlineLvl w:val="0"/>
              <w:rPr>
                <w:rFonts w:hint="eastAsia" w:ascii="宋体" w:hAnsi="宋体"/>
                <w:szCs w:val="21"/>
              </w:rPr>
            </w:pPr>
            <w:bookmarkStart w:id="50" w:name="_Toc8883"/>
            <w:bookmarkStart w:id="51" w:name="_Toc2809"/>
            <w:r>
              <w:rPr>
                <w:rFonts w:hint="eastAsia" w:ascii="宋体" w:hAnsi="宋体"/>
                <w:szCs w:val="21"/>
              </w:rPr>
              <w:t>四、车身要求：</w:t>
            </w:r>
            <w:bookmarkEnd w:id="50"/>
            <w:bookmarkEnd w:id="51"/>
          </w:p>
          <w:p w14:paraId="23EFEFC9">
            <w:pPr>
              <w:spacing w:line="360" w:lineRule="auto"/>
              <w:outlineLvl w:val="0"/>
              <w:rPr>
                <w:rFonts w:ascii="宋体" w:hAnsi="宋体"/>
                <w:szCs w:val="21"/>
              </w:rPr>
            </w:pPr>
            <w:bookmarkStart w:id="52" w:name="_Toc20347"/>
            <w:bookmarkStart w:id="53" w:name="_Toc13557"/>
            <w:r>
              <w:rPr>
                <w:rFonts w:hint="eastAsia" w:ascii="宋体" w:hAnsi="宋体"/>
                <w:szCs w:val="21"/>
                <w:lang w:val="en-US" w:eastAsia="zh-CN"/>
              </w:rPr>
              <w:t>1.</w:t>
            </w:r>
            <w:r>
              <w:rPr>
                <w:rFonts w:hint="eastAsia" w:ascii="宋体" w:hAnsi="宋体"/>
                <w:szCs w:val="21"/>
              </w:rPr>
              <w:t>顶棚：耐腐蚀、轻量化材料；</w:t>
            </w:r>
            <w:bookmarkEnd w:id="52"/>
            <w:bookmarkEnd w:id="53"/>
          </w:p>
          <w:p w14:paraId="25CC732F">
            <w:pPr>
              <w:spacing w:line="360" w:lineRule="auto"/>
              <w:outlineLvl w:val="0"/>
              <w:rPr>
                <w:rFonts w:ascii="宋体" w:hAnsi="宋体"/>
                <w:szCs w:val="21"/>
              </w:rPr>
            </w:pPr>
            <w:bookmarkStart w:id="54" w:name="_Toc24465"/>
            <w:bookmarkStart w:id="55" w:name="_Toc30094"/>
            <w:r>
              <w:rPr>
                <w:rFonts w:hint="eastAsia" w:ascii="宋体" w:hAnsi="宋体"/>
                <w:szCs w:val="21"/>
                <w:lang w:val="en-US" w:eastAsia="zh-CN"/>
              </w:rPr>
              <w:t>2.</w:t>
            </w:r>
            <w:r>
              <w:rPr>
                <w:rFonts w:hint="eastAsia" w:ascii="宋体" w:hAnsi="宋体"/>
                <w:szCs w:val="21"/>
              </w:rPr>
              <w:t>地板：</w:t>
            </w:r>
            <w:r>
              <w:rPr>
                <w:rFonts w:hint="eastAsia" w:ascii="宋体" w:hAnsi="宋体"/>
                <w:szCs w:val="21"/>
                <w:lang w:val="en-US" w:eastAsia="zh-CN"/>
              </w:rPr>
              <w:t>防滑地板</w:t>
            </w:r>
            <w:r>
              <w:rPr>
                <w:rFonts w:hint="eastAsia" w:ascii="宋体" w:hAnsi="宋体"/>
                <w:szCs w:val="21"/>
              </w:rPr>
              <w:t>；</w:t>
            </w:r>
            <w:bookmarkEnd w:id="54"/>
            <w:bookmarkEnd w:id="55"/>
          </w:p>
          <w:p w14:paraId="5883BC29">
            <w:pPr>
              <w:spacing w:line="360" w:lineRule="auto"/>
              <w:outlineLvl w:val="0"/>
              <w:rPr>
                <w:rFonts w:hint="eastAsia" w:ascii="宋体" w:hAnsi="宋体"/>
                <w:szCs w:val="21"/>
              </w:rPr>
            </w:pPr>
            <w:bookmarkStart w:id="56" w:name="_Toc16366"/>
            <w:bookmarkStart w:id="57" w:name="_Toc17819"/>
            <w:r>
              <w:rPr>
                <w:rFonts w:hint="eastAsia" w:ascii="宋体" w:hAnsi="宋体"/>
                <w:szCs w:val="21"/>
                <w:lang w:val="en-US" w:eastAsia="zh-CN"/>
              </w:rPr>
              <w:t>3.</w:t>
            </w:r>
            <w:r>
              <w:rPr>
                <w:rFonts w:hint="eastAsia" w:ascii="宋体" w:hAnsi="宋体"/>
                <w:szCs w:val="21"/>
              </w:rPr>
              <w:t>司机座椅：驾驶员皮革座椅；</w:t>
            </w:r>
            <w:bookmarkEnd w:id="56"/>
            <w:bookmarkEnd w:id="57"/>
          </w:p>
          <w:p w14:paraId="748DA5D1">
            <w:pPr>
              <w:spacing w:line="360" w:lineRule="auto"/>
              <w:outlineLvl w:val="0"/>
              <w:rPr>
                <w:rFonts w:ascii="宋体" w:hAnsi="宋体"/>
                <w:color w:val="3333FF"/>
                <w:szCs w:val="21"/>
              </w:rPr>
            </w:pPr>
            <w:bookmarkStart w:id="58" w:name="_Toc30747"/>
            <w:bookmarkStart w:id="59" w:name="_Toc12463"/>
            <w:r>
              <w:rPr>
                <w:rFonts w:hint="eastAsia" w:ascii="宋体" w:hAnsi="宋体"/>
                <w:szCs w:val="21"/>
                <w:lang w:val="en-US" w:eastAsia="zh-CN"/>
              </w:rPr>
              <w:t>4.</w:t>
            </w:r>
            <w:r>
              <w:rPr>
                <w:rFonts w:hint="eastAsia" w:ascii="宋体" w:hAnsi="宋体"/>
                <w:szCs w:val="21"/>
              </w:rPr>
              <w:t>乘客座椅：</w:t>
            </w:r>
            <w:r>
              <w:rPr>
                <w:rFonts w:hint="eastAsia" w:ascii="宋体" w:hAnsi="宋体"/>
                <w:szCs w:val="21"/>
                <w:lang w:val="en-US" w:eastAsia="zh-CN"/>
              </w:rPr>
              <w:t>连体式皮革坐椅，</w:t>
            </w:r>
            <w:r>
              <w:rPr>
                <w:rFonts w:hint="eastAsia" w:ascii="宋体" w:hAnsi="宋体"/>
                <w:szCs w:val="21"/>
              </w:rPr>
              <w:t>防水、耐磨；</w:t>
            </w:r>
            <w:r>
              <w:rPr>
                <w:rFonts w:hint="eastAsia" w:ascii="宋体" w:hAnsi="宋体" w:cs="宋体"/>
                <w:szCs w:val="21"/>
              </w:rPr>
              <w:t>座椅配备安全带</w:t>
            </w:r>
            <w:r>
              <w:rPr>
                <w:rFonts w:ascii="宋体" w:hAnsi="宋体" w:cs="宋体"/>
                <w:szCs w:val="21"/>
              </w:rPr>
              <w:t>,</w:t>
            </w:r>
            <w:r>
              <w:rPr>
                <w:rFonts w:hint="eastAsia" w:ascii="宋体" w:hAnsi="宋体" w:cs="宋体"/>
                <w:szCs w:val="21"/>
              </w:rPr>
              <w:t>带扣开启</w:t>
            </w:r>
            <w:r>
              <w:rPr>
                <w:rFonts w:hint="eastAsia" w:ascii="宋体" w:hAnsi="宋体"/>
                <w:color w:val="auto"/>
                <w:szCs w:val="21"/>
              </w:rPr>
              <w:t>；</w:t>
            </w:r>
            <w:bookmarkEnd w:id="58"/>
            <w:bookmarkEnd w:id="59"/>
          </w:p>
          <w:p w14:paraId="515E3FD0">
            <w:pPr>
              <w:spacing w:line="360" w:lineRule="auto"/>
              <w:outlineLvl w:val="0"/>
              <w:rPr>
                <w:rFonts w:ascii="宋体" w:hAnsi="宋体"/>
                <w:szCs w:val="21"/>
              </w:rPr>
            </w:pPr>
            <w:bookmarkStart w:id="60" w:name="_Toc7635"/>
            <w:bookmarkStart w:id="61" w:name="_Toc12309"/>
            <w:r>
              <w:rPr>
                <w:rFonts w:hint="eastAsia" w:ascii="宋体" w:hAnsi="宋体"/>
                <w:szCs w:val="21"/>
                <w:lang w:val="en-US" w:eastAsia="zh-CN"/>
              </w:rPr>
              <w:t>5.</w:t>
            </w:r>
            <w:r>
              <w:rPr>
                <w:rFonts w:hint="eastAsia" w:ascii="宋体" w:hAnsi="宋体"/>
                <w:szCs w:val="21"/>
              </w:rPr>
              <w:t>后视系统：手动后视镜，内视镜</w:t>
            </w:r>
            <w:bookmarkEnd w:id="60"/>
            <w:bookmarkEnd w:id="61"/>
          </w:p>
          <w:p w14:paraId="786924F1">
            <w:pPr>
              <w:spacing w:line="360" w:lineRule="auto"/>
              <w:outlineLvl w:val="0"/>
              <w:rPr>
                <w:rFonts w:ascii="宋体" w:hAnsi="宋体"/>
                <w:szCs w:val="21"/>
              </w:rPr>
            </w:pPr>
            <w:bookmarkStart w:id="62" w:name="_Toc13160"/>
            <w:bookmarkStart w:id="63" w:name="_Toc31074"/>
            <w:r>
              <w:rPr>
                <w:rFonts w:hint="eastAsia" w:ascii="宋体" w:hAnsi="宋体"/>
                <w:szCs w:val="21"/>
                <w:lang w:val="en-US" w:eastAsia="zh-CN"/>
              </w:rPr>
              <w:t>6.</w:t>
            </w:r>
            <w:r>
              <w:rPr>
                <w:rFonts w:hint="eastAsia" w:ascii="宋体" w:hAnsi="宋体"/>
                <w:szCs w:val="21"/>
              </w:rPr>
              <w:t>灯具：司机内顶灯、前大灯、前后转向灯、后位灯、倒车灯、刹车灯、电喇叭及倒车蜂鸣器</w:t>
            </w:r>
            <w:r>
              <w:rPr>
                <w:rFonts w:hint="eastAsia" w:ascii="宋体" w:hAnsi="宋体"/>
                <w:szCs w:val="21"/>
                <w:lang w:eastAsia="zh-CN"/>
              </w:rPr>
              <w:t>、</w:t>
            </w:r>
            <w:r>
              <w:rPr>
                <w:rFonts w:hint="eastAsia" w:ascii="宋体" w:hAnsi="宋体"/>
                <w:szCs w:val="21"/>
              </w:rPr>
              <w:t>前照应灯</w:t>
            </w:r>
            <w:bookmarkEnd w:id="62"/>
            <w:bookmarkEnd w:id="63"/>
          </w:p>
          <w:p w14:paraId="080EA941">
            <w:pPr>
              <w:spacing w:line="360" w:lineRule="auto"/>
              <w:outlineLvl w:val="0"/>
              <w:rPr>
                <w:rFonts w:ascii="宋体" w:hAnsi="宋体"/>
                <w:szCs w:val="21"/>
              </w:rPr>
            </w:pPr>
            <w:bookmarkStart w:id="64" w:name="_Toc6813"/>
            <w:bookmarkStart w:id="65" w:name="_Toc6704"/>
            <w:r>
              <w:rPr>
                <w:rFonts w:hint="eastAsia" w:ascii="宋体" w:hAnsi="宋体"/>
                <w:szCs w:val="21"/>
                <w:lang w:val="en-US" w:eastAsia="zh-CN"/>
              </w:rPr>
              <w:t>7.</w:t>
            </w:r>
            <w:r>
              <w:rPr>
                <w:rFonts w:hint="eastAsia" w:ascii="宋体" w:hAnsi="宋体"/>
                <w:szCs w:val="21"/>
              </w:rPr>
              <w:t>前挡风玻璃：</w:t>
            </w:r>
            <w:r>
              <w:rPr>
                <w:rFonts w:hint="eastAsia" w:ascii="宋体" w:hAnsi="宋体"/>
                <w:szCs w:val="21"/>
                <w:lang w:val="en-US" w:eastAsia="zh-CN"/>
              </w:rPr>
              <w:t>汽车专用</w:t>
            </w:r>
            <w:r>
              <w:rPr>
                <w:rFonts w:hint="eastAsia" w:ascii="宋体" w:hAnsi="宋体"/>
                <w:szCs w:val="21"/>
              </w:rPr>
              <w:t>加胶玻璃，</w:t>
            </w:r>
            <w:r>
              <w:rPr>
                <w:rFonts w:hint="eastAsia" w:ascii="宋体" w:hAnsi="宋体"/>
                <w:szCs w:val="21"/>
                <w:lang w:val="en-US" w:eastAsia="zh-CN"/>
              </w:rPr>
              <w:t>配雨刮器</w:t>
            </w:r>
            <w:bookmarkEnd w:id="64"/>
            <w:bookmarkEnd w:id="65"/>
          </w:p>
          <w:p w14:paraId="172BBC72">
            <w:pPr>
              <w:spacing w:line="360" w:lineRule="auto"/>
              <w:outlineLvl w:val="0"/>
              <w:rPr>
                <w:rFonts w:ascii="宋体" w:hAnsi="宋体"/>
                <w:szCs w:val="21"/>
              </w:rPr>
            </w:pPr>
            <w:bookmarkStart w:id="66" w:name="_Toc30877"/>
            <w:bookmarkStart w:id="67" w:name="_Toc2053"/>
            <w:r>
              <w:rPr>
                <w:rFonts w:hint="eastAsia" w:ascii="宋体" w:hAnsi="宋体"/>
                <w:szCs w:val="21"/>
                <w:lang w:val="en-US" w:eastAsia="zh-CN"/>
              </w:rPr>
              <w:t>8.</w:t>
            </w:r>
            <w:r>
              <w:rPr>
                <w:rFonts w:hint="eastAsia" w:ascii="宋体" w:hAnsi="宋体"/>
                <w:szCs w:val="21"/>
              </w:rPr>
              <w:t>挡雨装具：增配遮雨帘，要求抗紫外线、耐老化</w:t>
            </w:r>
            <w:bookmarkEnd w:id="66"/>
            <w:bookmarkEnd w:id="67"/>
          </w:p>
          <w:p w14:paraId="1D227FB8">
            <w:pPr>
              <w:spacing w:line="360" w:lineRule="auto"/>
              <w:outlineLvl w:val="0"/>
              <w:rPr>
                <w:rFonts w:ascii="宋体" w:hAnsi="宋体"/>
                <w:color w:val="000000"/>
                <w:szCs w:val="21"/>
              </w:rPr>
            </w:pPr>
            <w:bookmarkStart w:id="68" w:name="_Toc19897"/>
            <w:bookmarkStart w:id="69" w:name="_Toc11822"/>
            <w:r>
              <w:rPr>
                <w:rFonts w:hint="eastAsia" w:ascii="宋体" w:hAnsi="宋体"/>
                <w:szCs w:val="21"/>
                <w:lang w:val="en-US" w:eastAsia="zh-CN"/>
              </w:rPr>
              <w:t>9.</w:t>
            </w:r>
            <w:r>
              <w:rPr>
                <w:rFonts w:hint="eastAsia" w:ascii="宋体" w:hAnsi="宋体"/>
                <w:szCs w:val="21"/>
              </w:rPr>
              <w:t>其它：灭火器、防护链</w:t>
            </w:r>
            <w:bookmarkEnd w:id="68"/>
            <w:bookmarkEnd w:id="69"/>
          </w:p>
        </w:tc>
      </w:tr>
      <w:tr w14:paraId="2812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17" w:type="dxa"/>
            <w:gridSpan w:val="5"/>
            <w:tcBorders>
              <w:top w:val="single" w:color="auto" w:sz="4" w:space="0"/>
            </w:tcBorders>
            <w:noWrap w:val="0"/>
            <w:vAlign w:val="top"/>
          </w:tcPr>
          <w:p w14:paraId="06A75E7B">
            <w:pPr>
              <w:widowControl/>
              <w:adjustRightInd w:val="0"/>
              <w:snapToGrid w:val="0"/>
              <w:spacing w:line="360" w:lineRule="auto"/>
              <w:ind w:firstLine="426" w:firstLineChars="202"/>
              <w:jc w:val="left"/>
              <w:rPr>
                <w:rFonts w:hint="eastAsia" w:ascii="宋体" w:hAnsi="宋体" w:cs="宋体"/>
                <w:b/>
                <w:bCs/>
                <w:szCs w:val="21"/>
              </w:rPr>
            </w:pPr>
            <w:r>
              <w:rPr>
                <w:rFonts w:hint="eastAsia" w:ascii="宋体" w:hAnsi="宋体" w:cs="宋体"/>
                <w:b/>
                <w:bCs/>
                <w:szCs w:val="21"/>
              </w:rPr>
              <w:t>车辆必须满足参数表上的技术要求及配置，其余均按国家标准。</w:t>
            </w:r>
          </w:p>
          <w:p w14:paraId="3C350146">
            <w:pPr>
              <w:widowControl/>
              <w:adjustRightInd w:val="0"/>
              <w:snapToGrid w:val="0"/>
              <w:spacing w:line="360" w:lineRule="auto"/>
              <w:ind w:firstLine="426" w:firstLineChars="202"/>
              <w:jc w:val="left"/>
              <w:rPr>
                <w:rFonts w:hint="eastAsia" w:ascii="宋体" w:hAnsi="宋体" w:cs="宋体"/>
                <w:b/>
                <w:bCs/>
                <w:kern w:val="0"/>
                <w:szCs w:val="21"/>
              </w:rPr>
            </w:pPr>
            <w:r>
              <w:rPr>
                <w:rFonts w:hint="eastAsia" w:ascii="宋体" w:hAnsi="宋体" w:cs="宋体"/>
                <w:b/>
                <w:bCs/>
                <w:kern w:val="0"/>
                <w:szCs w:val="21"/>
              </w:rPr>
              <w:t>保修和服务要求：</w:t>
            </w:r>
          </w:p>
          <w:p w14:paraId="0B21251A">
            <w:pPr>
              <w:widowControl/>
              <w:adjustRightInd w:val="0"/>
              <w:snapToGrid w:val="0"/>
              <w:spacing w:line="360" w:lineRule="auto"/>
              <w:ind w:firstLine="424" w:firstLineChars="202"/>
              <w:jc w:val="left"/>
              <w:rPr>
                <w:rFonts w:hint="eastAsia" w:ascii="宋体" w:hAnsi="宋体" w:cs="宋体"/>
                <w:kern w:val="0"/>
                <w:szCs w:val="21"/>
              </w:rPr>
            </w:pPr>
            <w:r>
              <w:rPr>
                <w:rFonts w:hint="eastAsia" w:ascii="宋体" w:hAnsi="宋体" w:cs="宋体"/>
                <w:kern w:val="0"/>
                <w:szCs w:val="21"/>
              </w:rPr>
              <w:t>车辆免费保修期为</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壹</w:t>
            </w:r>
            <w:r>
              <w:rPr>
                <w:rFonts w:hint="eastAsia" w:ascii="宋体" w:hAnsi="宋体" w:cs="宋体"/>
                <w:kern w:val="0"/>
                <w:szCs w:val="21"/>
              </w:rPr>
              <w:t xml:space="preserve"> 年，其中整车电机、电控部分免费保修期</w:t>
            </w:r>
            <w:r>
              <w:rPr>
                <w:rFonts w:hint="eastAsia" w:ascii="宋体" w:hAnsi="宋体" w:cs="宋体"/>
                <w:kern w:val="0"/>
                <w:szCs w:val="21"/>
                <w:u w:val="single"/>
              </w:rPr>
              <w:t xml:space="preserve"> 壹 </w:t>
            </w:r>
            <w:r>
              <w:rPr>
                <w:rFonts w:hint="eastAsia" w:ascii="宋体" w:hAnsi="宋体" w:cs="宋体"/>
                <w:kern w:val="0"/>
                <w:szCs w:val="21"/>
              </w:rPr>
              <w:t>年，锂电池免费保修期</w:t>
            </w:r>
            <w:r>
              <w:rPr>
                <w:rFonts w:hint="eastAsia" w:ascii="宋体" w:hAnsi="宋体" w:cs="宋体"/>
                <w:kern w:val="0"/>
                <w:szCs w:val="21"/>
                <w:lang w:val="en-US" w:eastAsia="zh-CN"/>
              </w:rPr>
              <w:t>不低于</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叁</w:t>
            </w:r>
            <w:r>
              <w:rPr>
                <w:rFonts w:hint="eastAsia" w:ascii="宋体" w:hAnsi="宋体" w:cs="宋体"/>
                <w:kern w:val="0"/>
                <w:szCs w:val="21"/>
                <w:u w:val="single"/>
              </w:rPr>
              <w:t xml:space="preserve"> </w:t>
            </w:r>
            <w:r>
              <w:rPr>
                <w:rFonts w:hint="eastAsia" w:ascii="宋体" w:hAnsi="宋体" w:cs="宋体"/>
                <w:kern w:val="0"/>
                <w:szCs w:val="21"/>
              </w:rPr>
              <w:t>年，时间自最终验收合格之日起计算。维修响应情况方面，在保修期内，一旦发生质量问题，供应商应保证在接到通知后</w:t>
            </w:r>
            <w:r>
              <w:rPr>
                <w:rFonts w:hint="eastAsia" w:ascii="宋体" w:hAnsi="宋体" w:cs="宋体"/>
                <w:kern w:val="0"/>
                <w:szCs w:val="21"/>
                <w:lang w:val="en-US" w:eastAsia="zh-CN"/>
              </w:rPr>
              <w:t>48小时</w:t>
            </w:r>
            <w:r>
              <w:rPr>
                <w:rFonts w:hint="eastAsia" w:ascii="宋体" w:hAnsi="宋体" w:cs="宋体"/>
                <w:kern w:val="0"/>
                <w:szCs w:val="21"/>
              </w:rPr>
              <w:t>赶到现场进行修理或更换。供应商售后人员需每年进行客户车辆使用回访及检查，供应商应按其</w:t>
            </w:r>
            <w:r>
              <w:rPr>
                <w:rFonts w:hint="eastAsia" w:ascii="宋体" w:hAnsi="宋体" w:cs="宋体"/>
                <w:kern w:val="0"/>
                <w:szCs w:val="21"/>
                <w:lang w:val="en-US" w:eastAsia="zh-CN"/>
              </w:rPr>
              <w:t>响应</w:t>
            </w:r>
            <w:r>
              <w:rPr>
                <w:rFonts w:hint="eastAsia" w:ascii="宋体" w:hAnsi="宋体" w:cs="宋体"/>
                <w:kern w:val="0"/>
                <w:szCs w:val="21"/>
              </w:rPr>
              <w:t>文件中的承诺，进行其他售后服务工作。</w:t>
            </w:r>
          </w:p>
          <w:p w14:paraId="63F0DEDD">
            <w:pPr>
              <w:widowControl/>
              <w:adjustRightInd w:val="0"/>
              <w:snapToGrid w:val="0"/>
              <w:spacing w:line="360" w:lineRule="auto"/>
              <w:ind w:firstLine="426" w:firstLineChars="202"/>
              <w:jc w:val="left"/>
              <w:rPr>
                <w:rFonts w:hint="eastAsia" w:ascii="宋体" w:hAnsi="宋体" w:cs="宋体"/>
                <w:kern w:val="0"/>
                <w:szCs w:val="21"/>
              </w:rPr>
            </w:pPr>
            <w:r>
              <w:rPr>
                <w:rFonts w:hint="eastAsia" w:ascii="宋体" w:hAnsi="宋体" w:cs="宋体"/>
                <w:b/>
                <w:bCs/>
                <w:kern w:val="0"/>
                <w:szCs w:val="21"/>
              </w:rPr>
              <w:t>其他要求：</w:t>
            </w:r>
          </w:p>
          <w:p w14:paraId="6315C08B">
            <w:pPr>
              <w:widowControl/>
              <w:adjustRightInd w:val="0"/>
              <w:snapToGrid w:val="0"/>
              <w:spacing w:line="360" w:lineRule="auto"/>
              <w:ind w:firstLine="424" w:firstLineChars="202"/>
              <w:jc w:val="left"/>
              <w:rPr>
                <w:rFonts w:hint="eastAsia" w:ascii="宋体" w:hAnsi="宋体"/>
                <w:szCs w:val="21"/>
              </w:rPr>
            </w:pPr>
            <w:r>
              <w:rPr>
                <w:rFonts w:hint="eastAsia" w:ascii="宋体" w:hAnsi="宋体" w:cs="宋体"/>
                <w:kern w:val="0"/>
                <w:szCs w:val="21"/>
              </w:rPr>
              <w:t>车辆将严格按提供的</w:t>
            </w:r>
            <w:r>
              <w:rPr>
                <w:rFonts w:hint="eastAsia" w:ascii="宋体" w:hAnsi="宋体" w:cs="宋体"/>
                <w:kern w:val="0"/>
                <w:szCs w:val="21"/>
                <w:lang w:val="en-US" w:eastAsia="zh-CN"/>
              </w:rPr>
              <w:t>响应</w:t>
            </w:r>
            <w:r>
              <w:rPr>
                <w:rFonts w:hint="eastAsia" w:ascii="宋体" w:hAnsi="宋体" w:cs="宋体"/>
                <w:kern w:val="0"/>
                <w:szCs w:val="21"/>
              </w:rPr>
              <w:t>文件验收</w:t>
            </w:r>
            <w:r>
              <w:rPr>
                <w:rFonts w:ascii="宋体" w:hAnsi="宋体" w:cs="宋体"/>
                <w:kern w:val="0"/>
                <w:szCs w:val="21"/>
              </w:rPr>
              <w:t>,</w:t>
            </w:r>
            <w:r>
              <w:rPr>
                <w:rFonts w:hint="eastAsia" w:ascii="宋体" w:hAnsi="宋体" w:cs="宋体"/>
                <w:kern w:val="0"/>
                <w:szCs w:val="21"/>
              </w:rPr>
              <w:t>若实车与</w:t>
            </w:r>
            <w:r>
              <w:rPr>
                <w:rFonts w:hint="eastAsia" w:ascii="宋体" w:hAnsi="宋体" w:cs="宋体"/>
                <w:kern w:val="0"/>
                <w:szCs w:val="21"/>
                <w:lang w:eastAsia="zh-CN"/>
              </w:rPr>
              <w:t>响应文件</w:t>
            </w:r>
            <w:r>
              <w:rPr>
                <w:rFonts w:hint="eastAsia" w:ascii="宋体" w:hAnsi="宋体" w:cs="宋体"/>
                <w:kern w:val="0"/>
                <w:szCs w:val="21"/>
              </w:rPr>
              <w:t>不符</w:t>
            </w:r>
            <w:r>
              <w:rPr>
                <w:rFonts w:ascii="宋体" w:hAnsi="宋体" w:cs="宋体"/>
                <w:kern w:val="0"/>
                <w:szCs w:val="21"/>
              </w:rPr>
              <w:t>,</w:t>
            </w:r>
            <w:r>
              <w:rPr>
                <w:rFonts w:hint="eastAsia" w:ascii="宋体" w:hAnsi="宋体" w:cs="宋体"/>
                <w:kern w:val="0"/>
                <w:szCs w:val="21"/>
              </w:rPr>
              <w:t>采购</w:t>
            </w:r>
            <w:r>
              <w:rPr>
                <w:rFonts w:hint="eastAsia" w:ascii="宋体" w:hAnsi="宋体" w:cs="宋体"/>
                <w:kern w:val="0"/>
                <w:szCs w:val="21"/>
                <w:lang w:val="en-US" w:eastAsia="zh-CN"/>
              </w:rPr>
              <w:t>人</w:t>
            </w:r>
            <w:r>
              <w:rPr>
                <w:rFonts w:hint="eastAsia" w:ascii="宋体" w:hAnsi="宋体" w:cs="宋体"/>
                <w:kern w:val="0"/>
                <w:szCs w:val="21"/>
              </w:rPr>
              <w:t>有权拒绝接收车辆</w:t>
            </w:r>
            <w:r>
              <w:rPr>
                <w:rFonts w:ascii="宋体" w:hAnsi="宋体" w:cs="宋体"/>
                <w:kern w:val="0"/>
                <w:szCs w:val="21"/>
              </w:rPr>
              <w:t>,</w:t>
            </w:r>
            <w:r>
              <w:rPr>
                <w:rFonts w:hint="eastAsia" w:ascii="宋体" w:hAnsi="宋体" w:cs="宋体"/>
                <w:kern w:val="0"/>
                <w:szCs w:val="21"/>
              </w:rPr>
              <w:t>并追究违约单位相关法律责任。</w:t>
            </w:r>
          </w:p>
        </w:tc>
      </w:tr>
    </w:tbl>
    <w:p w14:paraId="50C7B3D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sz w:val="24"/>
        </w:rPr>
      </w:pPr>
    </w:p>
    <w:p w14:paraId="7399EF74">
      <w:pPr>
        <w:pStyle w:val="2"/>
        <w:pageBreakBefore w:val="0"/>
        <w:kinsoku/>
        <w:wordWrap/>
        <w:overflowPunct/>
        <w:topLinePunct w:val="0"/>
        <w:autoSpaceDE/>
        <w:autoSpaceDN/>
        <w:bidi w:val="0"/>
        <w:adjustRightInd/>
        <w:snapToGrid/>
        <w:spacing w:before="0" w:after="0" w:line="360" w:lineRule="auto"/>
        <w:textAlignment w:val="auto"/>
        <w:rPr>
          <w:rFonts w:hint="eastAsia" w:ascii="宋体" w:hAnsi="宋体" w:cs="宋体"/>
          <w:sz w:val="28"/>
          <w:szCs w:val="28"/>
        </w:rPr>
      </w:pPr>
      <w:bookmarkStart w:id="70" w:name="_Toc8619_WPSOffice_Level2"/>
      <w:bookmarkStart w:id="71" w:name="_Toc3893"/>
      <w:bookmarkStart w:id="72" w:name="_Toc25928"/>
      <w:bookmarkStart w:id="73" w:name="_Toc28628"/>
      <w:bookmarkStart w:id="74" w:name="_Toc17608_WPSOffice_Level2"/>
      <w:bookmarkStart w:id="75" w:name="_Toc21873_WPSOffice_Level2"/>
      <w:r>
        <w:rPr>
          <w:rFonts w:hint="eastAsia" w:ascii="宋体" w:hAnsi="宋体" w:cs="宋体"/>
          <w:sz w:val="28"/>
          <w:szCs w:val="28"/>
        </w:rPr>
        <w:t>三、响应人资格要求</w:t>
      </w:r>
      <w:bookmarkEnd w:id="70"/>
      <w:bookmarkEnd w:id="71"/>
      <w:bookmarkEnd w:id="72"/>
      <w:bookmarkEnd w:id="73"/>
      <w:bookmarkEnd w:id="74"/>
      <w:bookmarkEnd w:id="75"/>
    </w:p>
    <w:p w14:paraId="4B0EEAD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响应人</w:t>
      </w:r>
      <w:r>
        <w:rPr>
          <w:rFonts w:hint="eastAsia" w:ascii="宋体" w:hAnsi="宋体" w:cs="宋体"/>
          <w:sz w:val="24"/>
        </w:rPr>
        <w:t>具有合法有效的营业执照</w:t>
      </w:r>
      <w:r>
        <w:rPr>
          <w:rFonts w:hint="eastAsia" w:ascii="宋体" w:hAnsi="宋体" w:cs="宋体"/>
          <w:sz w:val="24"/>
          <w:lang w:eastAsia="zh-CN"/>
        </w:rPr>
        <w:t>，</w:t>
      </w:r>
      <w:r>
        <w:rPr>
          <w:rFonts w:hint="eastAsia" w:ascii="宋体" w:hAnsi="宋体" w:cs="宋体"/>
          <w:sz w:val="24"/>
          <w:lang w:val="en-US" w:eastAsia="zh-CN"/>
        </w:rPr>
        <w:t>并出具车辆生产厂家生产许可证</w:t>
      </w:r>
      <w:r>
        <w:rPr>
          <w:rFonts w:hint="eastAsia" w:ascii="宋体" w:hAnsi="宋体" w:cs="宋体"/>
          <w:sz w:val="24"/>
        </w:rPr>
        <w:t>。</w:t>
      </w:r>
    </w:p>
    <w:p w14:paraId="05430EA3">
      <w:pPr>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cs="宋体"/>
          <w:sz w:val="24"/>
        </w:rPr>
        <w:t>2.所生产或销售的</w:t>
      </w:r>
      <w:r>
        <w:rPr>
          <w:rFonts w:hint="eastAsia" w:ascii="宋体" w:hAnsi="宋体" w:cs="宋体"/>
          <w:sz w:val="24"/>
          <w:lang w:eastAsia="zh-CN"/>
        </w:rPr>
        <w:t>电瓶</w:t>
      </w:r>
      <w:r>
        <w:rPr>
          <w:rFonts w:hint="eastAsia" w:ascii="宋体" w:hAnsi="宋体" w:cs="宋体"/>
          <w:sz w:val="24"/>
        </w:rPr>
        <w:t>车辆符合国家相关标准规范，具有完整的车辆出厂手续。</w:t>
      </w:r>
    </w:p>
    <w:p w14:paraId="1EA21A2D">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18030"/>
          <w:color w:val="000000"/>
          <w:sz w:val="24"/>
        </w:rPr>
      </w:pPr>
      <w:r>
        <w:rPr>
          <w:rFonts w:hint="eastAsia" w:ascii="宋体" w:hAnsi="宋体" w:cs="宋体-18030"/>
          <w:color w:val="000000"/>
          <w:sz w:val="24"/>
        </w:rPr>
        <w:t>3.提供202</w:t>
      </w:r>
      <w:r>
        <w:rPr>
          <w:rFonts w:hint="eastAsia" w:ascii="宋体" w:hAnsi="宋体" w:cs="宋体-18030"/>
          <w:color w:val="000000"/>
          <w:sz w:val="24"/>
          <w:lang w:val="en-US" w:eastAsia="zh-CN"/>
        </w:rPr>
        <w:t>4</w:t>
      </w:r>
      <w:r>
        <w:rPr>
          <w:rFonts w:hint="eastAsia" w:ascii="宋体" w:hAnsi="宋体" w:cs="宋体-18030"/>
          <w:color w:val="000000"/>
          <w:sz w:val="24"/>
        </w:rPr>
        <w:t>年至今2个同类型设备销售业绩（需提供加盖鲜章合同复印件等相关证明材料）。</w:t>
      </w:r>
    </w:p>
    <w:p w14:paraId="4AF81229">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18030"/>
          <w:color w:val="000000"/>
          <w:sz w:val="24"/>
          <w:lang w:val="en-US"/>
        </w:rPr>
      </w:pPr>
      <w:r>
        <w:rPr>
          <w:rFonts w:hint="eastAsia" w:ascii="宋体" w:hAnsi="宋体" w:cs="宋体-18030"/>
          <w:color w:val="000000"/>
          <w:sz w:val="24"/>
          <w:lang w:val="en-US" w:eastAsia="zh-CN"/>
        </w:rPr>
        <w:t>4.投标车辆的生产厂家在成都设有至少一家服务站，提供厂家售后服务协议书复印件（原件备查）、服务站站点门头照片。</w:t>
      </w:r>
    </w:p>
    <w:p w14:paraId="403B630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rPr>
        <w:t>.近两年财务状况良好，未处于财产被接管、冻结、破产状态（提供承诺函）</w:t>
      </w:r>
      <w:r>
        <w:rPr>
          <w:rFonts w:hint="eastAsia" w:ascii="宋体" w:hAnsi="宋体" w:cs="宋体"/>
          <w:sz w:val="24"/>
          <w:lang w:eastAsia="zh-CN"/>
        </w:rPr>
        <w:t>。</w:t>
      </w:r>
    </w:p>
    <w:p w14:paraId="63EBD16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cs="宋体"/>
          <w:sz w:val="24"/>
          <w:lang w:val="en-US" w:eastAsia="zh-CN"/>
        </w:rPr>
        <w:t>6</w:t>
      </w:r>
      <w:r>
        <w:rPr>
          <w:rFonts w:hint="eastAsia" w:ascii="宋体" w:hAnsi="宋体" w:cs="宋体"/>
          <w:sz w:val="24"/>
        </w:rPr>
        <w:t>.信誉良好，近三年无违法违规行为，无行业处罚、惩戒等不良执业记录及不良反映（提供承诺函）</w:t>
      </w:r>
      <w:r>
        <w:rPr>
          <w:rFonts w:hint="eastAsia" w:ascii="宋体" w:hAnsi="宋体" w:cs="宋体"/>
          <w:sz w:val="24"/>
          <w:lang w:eastAsia="zh-CN"/>
        </w:rPr>
        <w:t>。</w:t>
      </w:r>
    </w:p>
    <w:p w14:paraId="2BA17C9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.近三年未受过行政处罚（提供“国家企业信用信息公示系统”</w:t>
      </w:r>
      <w:r>
        <w:rPr>
          <w:rStyle w:val="10"/>
          <w:rFonts w:hint="eastAsia" w:ascii="宋体" w:hAnsi="宋体" w:cs="宋体"/>
          <w:sz w:val="24"/>
        </w:rPr>
        <w:t>http://www.gsxt.gov.cn/index.html</w:t>
      </w:r>
      <w:r>
        <w:rPr>
          <w:rFonts w:hint="eastAsia" w:ascii="宋体" w:hAnsi="宋体" w:cs="宋体"/>
          <w:sz w:val="24"/>
        </w:rPr>
        <w:t>下载的最新企业信用信息公示报告或截图）；未被人民法院列入失信人名单（以人民法院在“中国执行信息公开网”网站</w:t>
      </w:r>
      <w:r>
        <w:rPr>
          <w:rStyle w:val="11"/>
          <w:rFonts w:hint="eastAsia" w:ascii="宋体" w:hAnsi="宋体" w:cs="宋体"/>
          <w:sz w:val="24"/>
        </w:rPr>
        <w:t>http://</w:t>
      </w:r>
      <w:r>
        <w:rPr>
          <w:rStyle w:val="11"/>
          <w:rFonts w:hint="eastAsia" w:ascii="宋体" w:hAnsi="宋体" w:cs="宋体"/>
          <w:sz w:val="24"/>
          <w:lang w:eastAsia="zh-Hans"/>
        </w:rPr>
        <w:t>zxgk.court.gov.cn</w:t>
      </w:r>
      <w:r>
        <w:rPr>
          <w:rFonts w:hint="eastAsia" w:ascii="宋体" w:hAnsi="宋体" w:cs="宋体"/>
          <w:sz w:val="24"/>
        </w:rPr>
        <w:t>最新查询结果为准，提供截图）。</w:t>
      </w:r>
    </w:p>
    <w:p w14:paraId="4FC3770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.本次询比不接受联合体响应。</w:t>
      </w:r>
    </w:p>
    <w:p w14:paraId="0B63925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注: 响应人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14:paraId="456937B2">
      <w:pPr>
        <w:pStyle w:val="2"/>
        <w:pageBreakBefore w:val="0"/>
        <w:kinsoku/>
        <w:wordWrap/>
        <w:overflowPunct/>
        <w:topLinePunct w:val="0"/>
        <w:autoSpaceDE/>
        <w:autoSpaceDN/>
        <w:bidi w:val="0"/>
        <w:adjustRightInd/>
        <w:snapToGrid/>
        <w:spacing w:before="0" w:after="0" w:line="360" w:lineRule="auto"/>
        <w:textAlignment w:val="auto"/>
        <w:rPr>
          <w:rFonts w:hint="eastAsia" w:ascii="宋体" w:hAnsi="宋体" w:cs="宋体"/>
          <w:sz w:val="28"/>
          <w:szCs w:val="28"/>
        </w:rPr>
      </w:pPr>
      <w:bookmarkStart w:id="76" w:name="_Toc17422_WPSOffice_Level2"/>
      <w:bookmarkStart w:id="77" w:name="_Toc10427_WPSOffice_Level2"/>
      <w:bookmarkStart w:id="78" w:name="_Toc15568"/>
      <w:bookmarkStart w:id="79" w:name="_Toc7603_WPSOffice_Level2"/>
      <w:bookmarkStart w:id="80" w:name="_Toc23669"/>
      <w:bookmarkStart w:id="81" w:name="_Toc4709"/>
      <w:r>
        <w:rPr>
          <w:rFonts w:hint="eastAsia" w:ascii="宋体" w:hAnsi="宋体" w:cs="宋体"/>
          <w:sz w:val="28"/>
          <w:szCs w:val="28"/>
        </w:rPr>
        <w:t>四、询比文件的获取</w:t>
      </w:r>
      <w:bookmarkEnd w:id="76"/>
      <w:bookmarkEnd w:id="77"/>
      <w:bookmarkEnd w:id="78"/>
      <w:bookmarkEnd w:id="79"/>
      <w:bookmarkEnd w:id="80"/>
      <w:bookmarkEnd w:id="81"/>
    </w:p>
    <w:p w14:paraId="73C4924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响应人请于</w:t>
      </w:r>
      <w:r>
        <w:rPr>
          <w:rFonts w:hint="eastAsia" w:ascii="宋体" w:hAnsi="宋体" w:cs="宋体"/>
          <w:b/>
          <w:bCs/>
          <w:color w:val="auto"/>
          <w:sz w:val="24"/>
          <w:highlight w:val="none"/>
          <w:u w:val="single"/>
        </w:rPr>
        <w:t>202</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年</w:t>
      </w:r>
      <w:r>
        <w:rPr>
          <w:rFonts w:hint="eastAsia" w:ascii="宋体" w:hAnsi="宋体" w:cs="宋体"/>
          <w:b/>
          <w:bCs/>
          <w:color w:val="auto"/>
          <w:sz w:val="24"/>
          <w:highlight w:val="none"/>
          <w:u w:val="single"/>
          <w:lang w:val="en-US" w:eastAsia="zh-CN"/>
        </w:rPr>
        <w:t>2</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27</w:t>
      </w:r>
      <w:r>
        <w:rPr>
          <w:rFonts w:hint="eastAsia" w:ascii="宋体" w:hAnsi="宋体" w:cs="宋体"/>
          <w:b/>
          <w:bCs/>
          <w:color w:val="auto"/>
          <w:sz w:val="24"/>
          <w:highlight w:val="none"/>
          <w:u w:val="single"/>
        </w:rPr>
        <w:t>日至202</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年</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rPr>
        <w:t>日17:00时</w:t>
      </w:r>
      <w:r>
        <w:rPr>
          <w:rFonts w:hint="eastAsia" w:ascii="宋体" w:hAnsi="宋体" w:cs="宋体"/>
          <w:color w:val="auto"/>
          <w:sz w:val="24"/>
          <w:highlight w:val="none"/>
        </w:rPr>
        <w:t>（</w:t>
      </w:r>
      <w:r>
        <w:rPr>
          <w:rFonts w:hint="eastAsia" w:ascii="宋体" w:hAnsi="宋体" w:cs="宋体"/>
          <w:sz w:val="24"/>
        </w:rPr>
        <w:t>北京时间，下同），通过</w:t>
      </w:r>
      <w:r>
        <w:rPr>
          <w:rFonts w:hint="eastAsia" w:ascii="宋体" w:hAnsi="宋体" w:cs="宋体"/>
          <w:b/>
          <w:bCs/>
          <w:sz w:val="24"/>
          <w:u w:val="single"/>
        </w:rPr>
        <w:t>四川能源天府阳光采购服务平台（http://scny.tfygcgfw.com/）</w:t>
      </w:r>
      <w:r>
        <w:rPr>
          <w:rFonts w:hint="eastAsia" w:ascii="宋体" w:hAnsi="宋体" w:cs="宋体"/>
          <w:sz w:val="24"/>
        </w:rPr>
        <w:t>报名获取</w:t>
      </w:r>
      <w:r>
        <w:rPr>
          <w:rFonts w:hint="eastAsia" w:ascii="宋体" w:hAnsi="宋体" w:cs="宋体"/>
          <w:sz w:val="24"/>
          <w:lang w:val="en-US" w:eastAsia="zh-CN"/>
        </w:rPr>
        <w:t>询比</w:t>
      </w:r>
      <w:r>
        <w:rPr>
          <w:rFonts w:hint="eastAsia" w:ascii="宋体" w:hAnsi="宋体" w:cs="宋体"/>
          <w:sz w:val="24"/>
        </w:rPr>
        <w:t>文件（平台服务费：以平台公示为准）。</w:t>
      </w:r>
    </w:p>
    <w:p w14:paraId="35AB3261">
      <w:pPr>
        <w:pStyle w:val="2"/>
        <w:pageBreakBefore w:val="0"/>
        <w:kinsoku/>
        <w:wordWrap/>
        <w:overflowPunct/>
        <w:topLinePunct w:val="0"/>
        <w:autoSpaceDE/>
        <w:autoSpaceDN/>
        <w:bidi w:val="0"/>
        <w:adjustRightInd/>
        <w:snapToGrid/>
        <w:spacing w:before="0" w:after="0" w:line="360" w:lineRule="auto"/>
        <w:textAlignment w:val="auto"/>
        <w:rPr>
          <w:rFonts w:hint="eastAsia" w:ascii="宋体" w:hAnsi="宋体" w:cs="宋体"/>
          <w:sz w:val="28"/>
          <w:szCs w:val="28"/>
        </w:rPr>
      </w:pPr>
      <w:bookmarkStart w:id="82" w:name="_Toc18106_WPSOffice_Level2"/>
      <w:bookmarkStart w:id="83" w:name="_Toc20070_WPSOffice_Level2"/>
      <w:bookmarkStart w:id="84" w:name="_Toc27664"/>
      <w:bookmarkStart w:id="85" w:name="_Toc29593"/>
      <w:bookmarkStart w:id="86" w:name="_Toc32517"/>
      <w:bookmarkStart w:id="87" w:name="_Toc14754_WPSOffice_Level2"/>
      <w:r>
        <w:rPr>
          <w:rFonts w:hint="eastAsia" w:ascii="宋体" w:hAnsi="宋体" w:cs="宋体"/>
          <w:sz w:val="28"/>
          <w:szCs w:val="28"/>
        </w:rPr>
        <w:t>五、响应文件的递交</w:t>
      </w:r>
      <w:bookmarkEnd w:id="82"/>
      <w:bookmarkEnd w:id="83"/>
      <w:bookmarkEnd w:id="84"/>
      <w:bookmarkEnd w:id="85"/>
      <w:bookmarkEnd w:id="86"/>
      <w:bookmarkEnd w:id="87"/>
    </w:p>
    <w:p w14:paraId="027833A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1.响应文件递交时间为</w:t>
      </w:r>
      <w:r>
        <w:rPr>
          <w:rFonts w:hint="eastAsia" w:ascii="宋体" w:hAnsi="宋体" w:cs="宋体"/>
          <w:b/>
          <w:bCs/>
          <w:sz w:val="24"/>
          <w:highlight w:val="none"/>
          <w:u w:val="single"/>
        </w:rPr>
        <w:t>202</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3</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9</w:t>
      </w:r>
      <w:r>
        <w:rPr>
          <w:rFonts w:hint="eastAsia" w:ascii="宋体" w:hAnsi="宋体" w:cs="宋体"/>
          <w:b/>
          <w:bCs/>
          <w:sz w:val="24"/>
          <w:highlight w:val="none"/>
          <w:u w:val="single"/>
        </w:rPr>
        <w:t>日1</w:t>
      </w:r>
      <w:r>
        <w:rPr>
          <w:rFonts w:hint="eastAsia" w:ascii="宋体" w:hAnsi="宋体" w:cs="宋体"/>
          <w:b/>
          <w:bCs/>
          <w:sz w:val="24"/>
          <w:highlight w:val="none"/>
          <w:u w:val="single"/>
          <w:lang w:val="en-US" w:eastAsia="zh-CN"/>
        </w:rPr>
        <w:t>0</w:t>
      </w:r>
      <w:r>
        <w:rPr>
          <w:rFonts w:hint="eastAsia" w:ascii="宋体" w:hAnsi="宋体" w:cs="宋体"/>
          <w:b/>
          <w:bCs/>
          <w:sz w:val="24"/>
          <w:highlight w:val="none"/>
          <w:u w:val="single"/>
        </w:rPr>
        <w:t>时00分</w:t>
      </w:r>
      <w:r>
        <w:rPr>
          <w:rFonts w:hint="eastAsia" w:ascii="宋体" w:hAnsi="宋体" w:cs="宋体"/>
          <w:sz w:val="24"/>
        </w:rPr>
        <w:t>，地点为</w:t>
      </w:r>
      <w:r>
        <w:rPr>
          <w:rFonts w:hint="eastAsia" w:ascii="宋体" w:hAnsi="宋体" w:cs="宋体"/>
          <w:b/>
          <w:bCs/>
          <w:sz w:val="24"/>
          <w:u w:val="single"/>
        </w:rPr>
        <w:t>成都市双流区金河路66号四川国际网球中心</w:t>
      </w:r>
      <w:r>
        <w:rPr>
          <w:rFonts w:hint="eastAsia" w:ascii="宋体" w:hAnsi="宋体" w:cs="宋体"/>
          <w:b/>
          <w:bCs/>
          <w:sz w:val="24"/>
          <w:u w:val="single"/>
          <w:lang w:val="en-US" w:eastAsia="zh-CN"/>
        </w:rPr>
        <w:t>大</w:t>
      </w:r>
      <w:r>
        <w:rPr>
          <w:rFonts w:hint="eastAsia" w:ascii="宋体" w:hAnsi="宋体" w:cs="宋体"/>
          <w:b/>
          <w:bCs/>
          <w:sz w:val="24"/>
          <w:u w:val="single"/>
        </w:rPr>
        <w:t>会议室</w:t>
      </w:r>
      <w:r>
        <w:rPr>
          <w:rFonts w:hint="eastAsia" w:ascii="宋体" w:hAnsi="宋体" w:cs="宋体"/>
          <w:b/>
          <w:bCs/>
          <w:sz w:val="24"/>
          <w:u w:val="single"/>
          <w:lang w:eastAsia="zh-CN"/>
        </w:rPr>
        <w:t>（</w:t>
      </w:r>
      <w:r>
        <w:rPr>
          <w:rFonts w:hint="eastAsia" w:ascii="宋体" w:hAnsi="宋体" w:cs="宋体"/>
          <w:b/>
          <w:bCs/>
          <w:sz w:val="24"/>
          <w:u w:val="single"/>
          <w:lang w:val="en-US" w:eastAsia="zh-CN"/>
        </w:rPr>
        <w:t>ZN118</w:t>
      </w:r>
      <w:r>
        <w:rPr>
          <w:rFonts w:hint="eastAsia" w:ascii="宋体" w:hAnsi="宋体" w:cs="宋体"/>
          <w:b/>
          <w:bCs/>
          <w:sz w:val="24"/>
          <w:u w:val="single"/>
          <w:lang w:eastAsia="zh-CN"/>
        </w:rPr>
        <w:t>）</w:t>
      </w:r>
      <w:r>
        <w:rPr>
          <w:rFonts w:hint="eastAsia" w:ascii="宋体" w:hAnsi="宋体" w:cs="宋体"/>
          <w:sz w:val="24"/>
          <w:u w:val="none"/>
        </w:rPr>
        <w:t>。</w:t>
      </w:r>
    </w:p>
    <w:p w14:paraId="3D1360C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2.逾期送达的或者未送达指定地点的响应文件，采购人不予受理。</w:t>
      </w:r>
    </w:p>
    <w:p w14:paraId="049FF738">
      <w:pPr>
        <w:pStyle w:val="2"/>
        <w:pageBreakBefore w:val="0"/>
        <w:kinsoku/>
        <w:wordWrap/>
        <w:overflowPunct/>
        <w:topLinePunct w:val="0"/>
        <w:autoSpaceDE/>
        <w:autoSpaceDN/>
        <w:bidi w:val="0"/>
        <w:adjustRightInd/>
        <w:snapToGrid/>
        <w:spacing w:before="0" w:after="0" w:line="360" w:lineRule="auto"/>
        <w:textAlignment w:val="auto"/>
        <w:rPr>
          <w:rFonts w:hint="eastAsia" w:ascii="宋体" w:hAnsi="宋体" w:cs="宋体"/>
          <w:sz w:val="28"/>
          <w:szCs w:val="28"/>
        </w:rPr>
      </w:pPr>
      <w:bookmarkStart w:id="88" w:name="_Toc8903_WPSOffice_Level2"/>
      <w:bookmarkStart w:id="89" w:name="_Toc1754_WPSOffice_Level2"/>
      <w:bookmarkStart w:id="90" w:name="_Toc9069"/>
      <w:bookmarkStart w:id="91" w:name="_Toc16700"/>
      <w:bookmarkStart w:id="92" w:name="_Toc14683_WPSOffice_Level2"/>
      <w:bookmarkStart w:id="93" w:name="_Toc2728"/>
      <w:r>
        <w:rPr>
          <w:rFonts w:hint="eastAsia" w:ascii="宋体" w:hAnsi="宋体" w:cs="宋体"/>
          <w:sz w:val="28"/>
          <w:szCs w:val="28"/>
        </w:rPr>
        <w:t>六、询比公告发布</w:t>
      </w:r>
      <w:bookmarkEnd w:id="88"/>
      <w:bookmarkEnd w:id="89"/>
      <w:bookmarkEnd w:id="90"/>
      <w:bookmarkEnd w:id="91"/>
      <w:bookmarkEnd w:id="92"/>
      <w:bookmarkEnd w:id="93"/>
    </w:p>
    <w:p w14:paraId="0FFE5D0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本询比公告在四川川投国际网球中心开发有限责任公司官网（</w:t>
      </w:r>
      <w:r>
        <w:rPr>
          <w:rFonts w:hint="eastAsia" w:ascii="宋体" w:hAnsi="宋体" w:cs="宋体"/>
        </w:rPr>
        <w:fldChar w:fldCharType="begin"/>
      </w:r>
      <w:r>
        <w:rPr>
          <w:rFonts w:hint="eastAsia" w:ascii="宋体" w:hAnsi="宋体" w:cs="宋体"/>
        </w:rPr>
        <w:instrText xml:space="preserve"> HYPERLINK "http://www.sciitc.com/" </w:instrText>
      </w:r>
      <w:r>
        <w:rPr>
          <w:rFonts w:hint="eastAsia" w:ascii="宋体" w:hAnsi="宋体" w:cs="宋体"/>
        </w:rPr>
        <w:fldChar w:fldCharType="separate"/>
      </w:r>
      <w:r>
        <w:rPr>
          <w:rFonts w:hint="eastAsia" w:ascii="宋体" w:hAnsi="宋体" w:cs="宋体"/>
          <w:sz w:val="24"/>
        </w:rPr>
        <w:t>http://www.sciitc.com/</w:t>
      </w:r>
      <w:r>
        <w:rPr>
          <w:rFonts w:hint="eastAsia" w:ascii="宋体" w:hAnsi="宋体" w:cs="宋体"/>
          <w:sz w:val="24"/>
        </w:rPr>
        <w:fldChar w:fldCharType="end"/>
      </w:r>
      <w:r>
        <w:rPr>
          <w:rFonts w:hint="eastAsia" w:ascii="宋体" w:hAnsi="宋体" w:cs="宋体"/>
          <w:sz w:val="24"/>
        </w:rPr>
        <w:t>）及四川能源天府阳光采购服务平台（http://scny.tfygcgfw.com/）发布。</w:t>
      </w:r>
    </w:p>
    <w:p w14:paraId="24869346">
      <w:pPr>
        <w:pStyle w:val="2"/>
        <w:pageBreakBefore w:val="0"/>
        <w:kinsoku/>
        <w:wordWrap/>
        <w:overflowPunct/>
        <w:topLinePunct w:val="0"/>
        <w:autoSpaceDE/>
        <w:autoSpaceDN/>
        <w:bidi w:val="0"/>
        <w:adjustRightInd/>
        <w:snapToGrid/>
        <w:spacing w:before="0" w:after="0" w:line="360" w:lineRule="auto"/>
        <w:textAlignment w:val="auto"/>
        <w:rPr>
          <w:rFonts w:hint="eastAsia" w:ascii="宋体" w:hAnsi="宋体" w:cs="宋体"/>
          <w:sz w:val="28"/>
          <w:szCs w:val="28"/>
        </w:rPr>
      </w:pPr>
      <w:bookmarkStart w:id="94" w:name="_Toc412"/>
      <w:bookmarkStart w:id="95" w:name="_Toc1702_WPSOffice_Level2"/>
      <w:bookmarkStart w:id="96" w:name="_Toc2270_WPSOffice_Level2"/>
      <w:bookmarkStart w:id="97" w:name="_Toc19360"/>
      <w:bookmarkStart w:id="98" w:name="_Toc32506_WPSOffice_Level2"/>
      <w:bookmarkStart w:id="99" w:name="_Toc25772"/>
      <w:r>
        <w:rPr>
          <w:rFonts w:hint="eastAsia" w:ascii="宋体" w:hAnsi="宋体" w:cs="宋体"/>
          <w:sz w:val="28"/>
          <w:szCs w:val="28"/>
        </w:rPr>
        <w:t>七、联系方式</w:t>
      </w:r>
      <w:bookmarkEnd w:id="94"/>
      <w:bookmarkEnd w:id="95"/>
      <w:bookmarkEnd w:id="96"/>
      <w:bookmarkEnd w:id="97"/>
      <w:bookmarkEnd w:id="98"/>
      <w:bookmarkEnd w:id="99"/>
    </w:p>
    <w:p w14:paraId="6D7FD1C0">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采购人：四川川投国际网球中心开发有限责任公司</w:t>
      </w:r>
    </w:p>
    <w:p w14:paraId="2DEFD9C7">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地址: 成都市双流区金河路66号</w:t>
      </w:r>
    </w:p>
    <w:p w14:paraId="31E18666">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 xml:space="preserve">联系人: 何女士   </w:t>
      </w:r>
    </w:p>
    <w:p w14:paraId="1855C9E5">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电话：028-85893078</w:t>
      </w:r>
    </w:p>
    <w:p w14:paraId="2602A099">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lang w:eastAsia="zh-CN"/>
        </w:rPr>
      </w:pPr>
    </w:p>
    <w:p w14:paraId="730E525F">
      <w:pPr>
        <w:pStyle w:val="6"/>
        <w:rPr>
          <w:rFonts w:hint="eastAsia" w:ascii="宋体" w:hAnsi="宋体" w:eastAsia="宋体" w:cs="宋体"/>
          <w:color w:val="auto"/>
          <w:lang w:eastAsia="zh-CN"/>
        </w:rPr>
      </w:pPr>
    </w:p>
    <w:p w14:paraId="6802DBB1">
      <w:pPr>
        <w:rPr>
          <w:rFonts w:hint="eastAsia"/>
          <w:lang w:eastAsia="zh-CN"/>
        </w:rPr>
      </w:pPr>
    </w:p>
    <w:p w14:paraId="1FC09BBC">
      <w:pPr>
        <w:pStyle w:val="13"/>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lang w:eastAsia="zh-CN"/>
        </w:rPr>
      </w:pPr>
    </w:p>
    <w:p w14:paraId="6D30950B">
      <w:pPr>
        <w:pageBreakBefore w:val="0"/>
        <w:kinsoku/>
        <w:wordWrap/>
        <w:overflowPunct/>
        <w:topLinePunct w:val="0"/>
        <w:bidi w:val="0"/>
        <w:adjustRightInd/>
        <w:snapToGrid/>
        <w:spacing w:line="360" w:lineRule="auto"/>
        <w:ind w:firstLine="480" w:firstLineChars="20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四川川投国际网球中心开发有限责任公司</w:t>
      </w:r>
    </w:p>
    <w:p w14:paraId="77D7B942">
      <w:pPr>
        <w:pageBreakBefore w:val="0"/>
        <w:kinsoku/>
        <w:wordWrap/>
        <w:overflowPunct/>
        <w:topLinePunct w:val="0"/>
        <w:bidi w:val="0"/>
        <w:adjustRightInd/>
        <w:snapToGrid/>
        <w:spacing w:line="360" w:lineRule="auto"/>
        <w:ind w:firstLine="480" w:firstLineChars="200"/>
        <w:jc w:val="center"/>
        <w:rPr>
          <w:rFonts w:hint="eastAsia" w:ascii="宋体" w:hAnsi="宋体" w:eastAsia="宋体" w:cs="宋体"/>
          <w:color w:val="auto"/>
          <w:sz w:val="44"/>
          <w:szCs w:val="44"/>
        </w:rPr>
      </w:pP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20</w:t>
      </w:r>
      <w:r>
        <w:rPr>
          <w:rFonts w:hint="eastAsia" w:ascii="宋体" w:hAnsi="宋体" w:cs="宋体"/>
          <w:color w:val="auto"/>
          <w:kern w:val="2"/>
          <w:sz w:val="24"/>
          <w:szCs w:val="24"/>
          <w:lang w:val="en-US" w:eastAsia="zh-CN" w:bidi="ar-SA"/>
        </w:rPr>
        <w:t>26</w:t>
      </w:r>
      <w:r>
        <w:rPr>
          <w:rFonts w:hint="eastAsia" w:ascii="宋体" w:hAnsi="宋体" w:eastAsia="宋体" w:cs="宋体"/>
          <w:color w:val="auto"/>
          <w:kern w:val="2"/>
          <w:sz w:val="24"/>
          <w:szCs w:val="24"/>
          <w:lang w:val="en-US" w:eastAsia="zh-CN" w:bidi="ar-SA"/>
        </w:rPr>
        <w:t>年</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月</w:t>
      </w:r>
      <w:r>
        <w:rPr>
          <w:rFonts w:hint="eastAsia" w:ascii="宋体" w:hAnsi="宋体" w:cs="宋体"/>
          <w:color w:val="auto"/>
          <w:kern w:val="2"/>
          <w:sz w:val="24"/>
          <w:szCs w:val="24"/>
          <w:lang w:val="en-US" w:eastAsia="zh-CN" w:bidi="ar-SA"/>
        </w:rPr>
        <w:t>27</w:t>
      </w:r>
      <w:bookmarkStart w:id="100" w:name="_GoBack"/>
      <w:bookmarkEnd w:id="100"/>
      <w:r>
        <w:rPr>
          <w:rFonts w:hint="eastAsia" w:ascii="宋体" w:hAnsi="宋体" w:eastAsia="宋体" w:cs="宋体"/>
          <w:color w:val="auto"/>
          <w:kern w:val="2"/>
          <w:sz w:val="24"/>
          <w:szCs w:val="24"/>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18030">
    <w:altName w:val="微软雅黑"/>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12B93CF"/>
    <w:multiLevelType w:val="singleLevel"/>
    <w:tmpl w:val="512B93CF"/>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YWZhOWEyNmZmNGU4ZDYxOTkzMTFmODMzN2JlY2UifQ=="/>
    <w:docVar w:name="KSO_WPS_MARK_KEY" w:val="28102570-3888-4551-9bf2-760c943aaae8"/>
  </w:docVars>
  <w:rsids>
    <w:rsidRoot w:val="65BA4F18"/>
    <w:rsid w:val="11542DB6"/>
    <w:rsid w:val="12EA243F"/>
    <w:rsid w:val="25F8628C"/>
    <w:rsid w:val="285717B4"/>
    <w:rsid w:val="29D16A3E"/>
    <w:rsid w:val="2CE46EA1"/>
    <w:rsid w:val="2D3F457D"/>
    <w:rsid w:val="364C3692"/>
    <w:rsid w:val="37154C0A"/>
    <w:rsid w:val="39A30C17"/>
    <w:rsid w:val="3F734A18"/>
    <w:rsid w:val="440151F2"/>
    <w:rsid w:val="45434FF7"/>
    <w:rsid w:val="47B56720"/>
    <w:rsid w:val="4D52666A"/>
    <w:rsid w:val="4FCE076D"/>
    <w:rsid w:val="563B6FEB"/>
    <w:rsid w:val="5EA63F72"/>
    <w:rsid w:val="5EF914C4"/>
    <w:rsid w:val="655B2A5B"/>
    <w:rsid w:val="65BA4F18"/>
    <w:rsid w:val="67FC7620"/>
    <w:rsid w:val="70197967"/>
    <w:rsid w:val="7A5A6D76"/>
    <w:rsid w:val="7C176A08"/>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jc w:val="center"/>
    </w:pPr>
  </w:style>
  <w:style w:type="paragraph" w:styleId="4">
    <w:name w:val="Body Text"/>
    <w:basedOn w:val="1"/>
    <w:next w:val="5"/>
    <w:qFormat/>
    <w:uiPriority w:val="0"/>
    <w:rPr>
      <w:rFonts w:eastAsia="仿宋_GB2312"/>
      <w:sz w:val="32"/>
    </w:rPr>
  </w:style>
  <w:style w:type="paragraph" w:styleId="5">
    <w:name w:val="Body Text First Indent"/>
    <w:basedOn w:val="4"/>
    <w:unhideWhenUsed/>
    <w:qFormat/>
    <w:uiPriority w:val="0"/>
    <w:pPr>
      <w:spacing w:line="440" w:lineRule="exact"/>
      <w:ind w:firstLine="420" w:firstLineChars="200"/>
    </w:pPr>
    <w:rPr>
      <w:szCs w:val="20"/>
    </w:rPr>
  </w:style>
  <w:style w:type="paragraph" w:styleId="6">
    <w:name w:val="toc 1"/>
    <w:basedOn w:val="1"/>
    <w:next w:val="1"/>
    <w:qFormat/>
    <w:uiPriority w:val="0"/>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666666"/>
      <w:u w:val="none"/>
    </w:rPr>
  </w:style>
  <w:style w:type="character" w:styleId="11">
    <w:name w:val="Hyperlink"/>
    <w:unhideWhenUsed/>
    <w:qFormat/>
    <w:uiPriority w:val="99"/>
    <w:rPr>
      <w:color w:val="0563C1"/>
      <w:u w:val="single"/>
    </w:rPr>
  </w:style>
  <w:style w:type="character" w:styleId="12">
    <w:name w:val="annotation reference"/>
    <w:qFormat/>
    <w:uiPriority w:val="0"/>
    <w:rPr>
      <w:sz w:val="21"/>
      <w:szCs w:val="21"/>
    </w:rPr>
  </w:style>
  <w:style w:type="paragraph" w:customStyle="1" w:styleId="13">
    <w:name w:val="标题 5（有编号）（绿盟科技）"/>
    <w:basedOn w:val="1"/>
    <w:next w:val="1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4">
    <w:name w:val="正文（绿盟科技）"/>
    <w:qFormat/>
    <w:uiPriority w:val="0"/>
    <w:pPr>
      <w:spacing w:line="300" w:lineRule="auto"/>
    </w:pPr>
    <w:rPr>
      <w:rFonts w:ascii="Arial" w:hAnsi="Arial" w:eastAsia="宋体" w:cs="黑体"/>
      <w:sz w:val="21"/>
      <w:szCs w:val="21"/>
      <w:lang w:val="en-US" w:eastAsia="zh-CN" w:bidi="ar-SA"/>
    </w:rPr>
  </w:style>
  <w:style w:type="paragraph" w:styleId="15">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6">
    <w:name w:val="列出段落2"/>
    <w:basedOn w:val="1"/>
    <w:unhideWhenUsed/>
    <w:qFormat/>
    <w:uiPriority w:val="99"/>
    <w:pPr>
      <w:ind w:firstLine="420" w:firstLineChars="200"/>
    </w:pPr>
  </w:style>
  <w:style w:type="paragraph" w:customStyle="1" w:styleId="1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1741</Words>
  <Characters>2002</Characters>
  <Lines>0</Lines>
  <Paragraphs>0</Paragraphs>
  <TotalTime>1</TotalTime>
  <ScaleCrop>false</ScaleCrop>
  <LinksUpToDate>false</LinksUpToDate>
  <CharactersWithSpaces>2049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2023-12-10T10:32:00Z</dcterms:created>
  <dc:creator>Mary</dc:creator>
  <cp:lastModifiedBy>HP</cp:lastModifiedBy>
  <dcterms:modified xsi:type="dcterms:W3CDTF">2026-02-27T01:01:11Z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910FF1044EA84E428290ED07C2843D38_11</vt:lpwstr>
  </property>
  <property fmtid="{D5CDD505-2E9C-101B-9397-08002B2CF9AE}" pid="4" name="KSOTemplateDocerSaveRecord">
    <vt:lpwstr>eyJoZGlkIjoiOTY2YWZhOWEyNmZmNGU4ZDYxOTkzMTFmODMzN2JlY2UifQ==</vt:lpwstr>
  </property>
</Properties>
</file>