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DC233">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b/>
          <w:bCs/>
          <w:sz w:val="44"/>
          <w:szCs w:val="44"/>
        </w:rPr>
      </w:pPr>
      <w:bookmarkStart w:id="0" w:name="_Toc29623_WPSOffice_Level2"/>
      <w:bookmarkStart w:id="1" w:name="_Toc11488"/>
      <w:bookmarkStart w:id="2" w:name="_Toc29517_WPSOffice_Level2"/>
      <w:bookmarkStart w:id="3" w:name="_Toc11202_WPSOffice_Level2"/>
      <w:r>
        <w:rPr>
          <w:rFonts w:hint="eastAsia" w:ascii="宋体" w:hAnsi="宋体" w:eastAsia="宋体" w:cs="宋体"/>
          <w:b/>
          <w:bCs/>
          <w:sz w:val="44"/>
          <w:szCs w:val="44"/>
        </w:rPr>
        <w:t>四川川投国际网球中心开发有限责任公司</w:t>
      </w:r>
    </w:p>
    <w:p w14:paraId="50261378">
      <w:pPr>
        <w:pStyle w:val="2"/>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年度补充医疗保险服务项目</w:t>
      </w:r>
      <w:r>
        <w:rPr>
          <w:rFonts w:hint="eastAsia" w:ascii="宋体" w:hAnsi="宋体" w:cs="宋体"/>
          <w:b/>
          <w:bCs/>
          <w:sz w:val="44"/>
          <w:szCs w:val="44"/>
          <w:lang w:eastAsia="zh-CN"/>
        </w:rPr>
        <w:t>（</w:t>
      </w:r>
      <w:r>
        <w:rPr>
          <w:rFonts w:hint="eastAsia" w:ascii="宋体" w:hAnsi="宋体" w:cs="宋体"/>
          <w:b/>
          <w:bCs/>
          <w:sz w:val="44"/>
          <w:szCs w:val="44"/>
          <w:lang w:val="en-US" w:eastAsia="zh-CN"/>
        </w:rPr>
        <w:t>第二次</w:t>
      </w:r>
      <w:bookmarkStart w:id="32" w:name="_GoBack"/>
      <w:bookmarkEnd w:id="32"/>
      <w:r>
        <w:rPr>
          <w:rFonts w:hint="eastAsia" w:ascii="宋体" w:hAnsi="宋体" w:cs="宋体"/>
          <w:b/>
          <w:bCs/>
          <w:sz w:val="44"/>
          <w:szCs w:val="44"/>
          <w:lang w:eastAsia="zh-CN"/>
        </w:rPr>
        <w:t>）</w:t>
      </w:r>
      <w:r>
        <w:rPr>
          <w:rFonts w:hint="eastAsia" w:ascii="宋体" w:hAnsi="宋体" w:eastAsia="宋体" w:cs="宋体"/>
          <w:b/>
          <w:bCs/>
          <w:sz w:val="44"/>
          <w:szCs w:val="44"/>
        </w:rPr>
        <w:t>比选</w:t>
      </w:r>
      <w:r>
        <w:rPr>
          <w:rFonts w:hint="eastAsia" w:ascii="宋体" w:hAnsi="宋体" w:cs="宋体"/>
          <w:b/>
          <w:bCs/>
          <w:sz w:val="44"/>
          <w:szCs w:val="44"/>
          <w:lang w:val="en-US" w:eastAsia="zh-CN"/>
        </w:rPr>
        <w:t>公告</w:t>
      </w:r>
    </w:p>
    <w:p w14:paraId="7CC83543">
      <w:pPr>
        <w:pStyle w:val="2"/>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cs="宋体"/>
          <w:sz w:val="28"/>
          <w:szCs w:val="28"/>
        </w:rPr>
      </w:pPr>
    </w:p>
    <w:bookmarkEnd w:id="0"/>
    <w:bookmarkEnd w:id="1"/>
    <w:bookmarkEnd w:id="2"/>
    <w:bookmarkEnd w:id="3"/>
    <w:p w14:paraId="102BD7FD">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四川川投国际网球中心开发有限责任公司就年度补充医疗保险服务项目进行公开比选，诚邀符合资格条件的潜在响应人参与本项目的比选。</w:t>
      </w:r>
    </w:p>
    <w:p w14:paraId="0AAA53AB">
      <w:pPr>
        <w:adjustRightInd w:val="0"/>
        <w:snapToGrid w:val="0"/>
        <w:spacing w:line="360" w:lineRule="auto"/>
        <w:ind w:firstLine="514" w:firstLineChars="198"/>
        <w:outlineLvl w:val="1"/>
        <w:rPr>
          <w:rFonts w:eastAsia="黑体"/>
          <w:bCs/>
          <w:color w:val="000000"/>
          <w:spacing w:val="10"/>
          <w:sz w:val="24"/>
          <w:szCs w:val="24"/>
        </w:rPr>
      </w:pPr>
      <w:bookmarkStart w:id="4" w:name="_Toc18165"/>
      <w:bookmarkStart w:id="5" w:name="_Toc8693"/>
      <w:bookmarkStart w:id="6" w:name="_Toc16969"/>
      <w:bookmarkStart w:id="7" w:name="_Toc26222"/>
      <w:bookmarkStart w:id="8" w:name="_Toc12075"/>
      <w:bookmarkStart w:id="9" w:name="_Toc5357"/>
      <w:bookmarkStart w:id="10" w:name="_Toc6790"/>
      <w:bookmarkStart w:id="11" w:name="_Toc13481"/>
      <w:bookmarkStart w:id="12" w:name="_Toc16799"/>
      <w:bookmarkStart w:id="13" w:name="_Toc3419"/>
      <w:bookmarkStart w:id="14" w:name="_Toc28870"/>
      <w:bookmarkStart w:id="15" w:name="_Toc27778"/>
      <w:r>
        <w:rPr>
          <w:rFonts w:eastAsia="黑体"/>
          <w:bCs/>
          <w:color w:val="000000"/>
          <w:spacing w:val="10"/>
          <w:sz w:val="24"/>
          <w:szCs w:val="24"/>
        </w:rPr>
        <w:t>一、项目概况</w:t>
      </w:r>
      <w:bookmarkEnd w:id="4"/>
      <w:bookmarkEnd w:id="5"/>
      <w:bookmarkEnd w:id="6"/>
      <w:bookmarkEnd w:id="7"/>
      <w:bookmarkEnd w:id="8"/>
      <w:bookmarkEnd w:id="9"/>
      <w:bookmarkEnd w:id="10"/>
      <w:bookmarkEnd w:id="11"/>
      <w:bookmarkEnd w:id="12"/>
      <w:bookmarkEnd w:id="13"/>
      <w:bookmarkEnd w:id="14"/>
      <w:bookmarkEnd w:id="15"/>
    </w:p>
    <w:tbl>
      <w:tblPr>
        <w:tblStyle w:val="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904"/>
        <w:gridCol w:w="1766"/>
        <w:gridCol w:w="4003"/>
      </w:tblGrid>
      <w:tr w14:paraId="2550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Pr>
          <w:p w14:paraId="06109B3A">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比选人</w:t>
            </w:r>
          </w:p>
        </w:tc>
        <w:tc>
          <w:tcPr>
            <w:tcW w:w="7673" w:type="dxa"/>
            <w:gridSpan w:val="3"/>
          </w:tcPr>
          <w:p w14:paraId="0AC32C45">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四川川投国际网球中心开发有限责任公司</w:t>
            </w:r>
          </w:p>
        </w:tc>
      </w:tr>
      <w:tr w14:paraId="36B2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2F5B9AA9">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7673" w:type="dxa"/>
            <w:gridSpan w:val="3"/>
          </w:tcPr>
          <w:p w14:paraId="0CC486A7">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四川川投国际网球中心开发有限责任公司年度补充医疗保险服务项目</w:t>
            </w:r>
          </w:p>
        </w:tc>
      </w:tr>
      <w:tr w14:paraId="65CE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87" w:type="dxa"/>
            <w:vMerge w:val="restart"/>
            <w:vAlign w:val="center"/>
          </w:tcPr>
          <w:p w14:paraId="14526CC3">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最高比选限价</w:t>
            </w:r>
          </w:p>
          <w:p w14:paraId="0F070723">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（含税）</w:t>
            </w:r>
          </w:p>
        </w:tc>
        <w:tc>
          <w:tcPr>
            <w:tcW w:w="1904" w:type="dxa"/>
            <w:vAlign w:val="center"/>
          </w:tcPr>
          <w:p w14:paraId="06E47CE0">
            <w:pPr>
              <w:spacing w:line="360" w:lineRule="auto"/>
              <w:jc w:val="center"/>
              <w:rPr>
                <w:rFonts w:ascii="仿宋_GB2312" w:hAnsi="仿宋_GB2312" w:eastAsia="仿宋_GB2312" w:cs="仿宋_GB2312"/>
                <w:color w:val="000000"/>
                <w:sz w:val="24"/>
                <w:szCs w:val="24"/>
              </w:rPr>
            </w:pPr>
          </w:p>
          <w:p w14:paraId="3A7C67AA">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人员类别</w:t>
            </w:r>
          </w:p>
        </w:tc>
        <w:tc>
          <w:tcPr>
            <w:tcW w:w="1766" w:type="dxa"/>
            <w:vAlign w:val="center"/>
          </w:tcPr>
          <w:p w14:paraId="0B39161B">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（1）医疗费用及药品保障金费率最高限价</w:t>
            </w:r>
          </w:p>
        </w:tc>
        <w:tc>
          <w:tcPr>
            <w:tcW w:w="4003" w:type="dxa"/>
            <w:vAlign w:val="center"/>
          </w:tcPr>
          <w:p w14:paraId="7952EE06">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（2）重大疾病保险金、补充住院保险金、补充门急诊保险金、住院津贴保险金、重疾住院保险金等保费最高限价（元/人/年）</w:t>
            </w:r>
          </w:p>
        </w:tc>
      </w:tr>
      <w:tr w14:paraId="2AA5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vAlign w:val="center"/>
          </w:tcPr>
          <w:p w14:paraId="03711ED8">
            <w:pPr>
              <w:spacing w:line="360" w:lineRule="auto"/>
              <w:jc w:val="center"/>
              <w:rPr>
                <w:rFonts w:ascii="仿宋_GB2312" w:hAnsi="仿宋_GB2312" w:eastAsia="仿宋_GB2312" w:cs="仿宋_GB2312"/>
                <w:color w:val="000000"/>
                <w:sz w:val="24"/>
                <w:szCs w:val="24"/>
              </w:rPr>
            </w:pPr>
          </w:p>
        </w:tc>
        <w:tc>
          <w:tcPr>
            <w:tcW w:w="1904" w:type="dxa"/>
            <w:vAlign w:val="center"/>
          </w:tcPr>
          <w:p w14:paraId="4710056A">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中层及以上管理在职人员</w:t>
            </w:r>
          </w:p>
        </w:tc>
        <w:tc>
          <w:tcPr>
            <w:tcW w:w="1766" w:type="dxa"/>
            <w:vAlign w:val="center"/>
          </w:tcPr>
          <w:p w14:paraId="4F473341">
            <w:pPr>
              <w:tabs>
                <w:tab w:val="center" w:pos="979"/>
                <w:tab w:val="right" w:pos="1839"/>
              </w:tabs>
              <w:spacing w:line="360" w:lineRule="auto"/>
              <w:ind w:firstLine="0" w:firstLineChars="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0"/>
                <w:kern w:val="0"/>
                <w:sz w:val="24"/>
                <w:szCs w:val="24"/>
              </w:rPr>
              <w:t>3%</w:t>
            </w:r>
          </w:p>
        </w:tc>
        <w:tc>
          <w:tcPr>
            <w:tcW w:w="4003" w:type="dxa"/>
            <w:vAlign w:val="center"/>
          </w:tcPr>
          <w:p w14:paraId="0813725E">
            <w:pPr>
              <w:spacing w:line="360" w:lineRule="auto"/>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2100</w:t>
            </w:r>
          </w:p>
        </w:tc>
      </w:tr>
    </w:tbl>
    <w:p w14:paraId="5C14C71C">
      <w:pPr>
        <w:adjustRightInd w:val="0"/>
        <w:snapToGrid w:val="0"/>
        <w:spacing w:line="360" w:lineRule="auto"/>
        <w:ind w:firstLine="514" w:firstLineChars="198"/>
        <w:outlineLvl w:val="1"/>
        <w:rPr>
          <w:rFonts w:eastAsia="黑体"/>
          <w:bCs/>
          <w:color w:val="000000"/>
          <w:spacing w:val="10"/>
          <w:sz w:val="24"/>
          <w:szCs w:val="24"/>
        </w:rPr>
      </w:pPr>
      <w:bookmarkStart w:id="16" w:name="_Toc8531"/>
      <w:bookmarkStart w:id="17" w:name="_Toc24741"/>
      <w:bookmarkStart w:id="18" w:name="_Toc4594"/>
      <w:bookmarkStart w:id="19" w:name="_Toc27275"/>
      <w:bookmarkStart w:id="20" w:name="_Toc18343"/>
      <w:bookmarkStart w:id="21" w:name="_Toc26773"/>
      <w:bookmarkStart w:id="22" w:name="_Toc21866"/>
      <w:bookmarkStart w:id="23" w:name="_Toc17570"/>
      <w:bookmarkStart w:id="24" w:name="_Toc23734"/>
      <w:bookmarkStart w:id="25" w:name="_Toc28465"/>
      <w:bookmarkStart w:id="26" w:name="_Toc28873"/>
      <w:bookmarkStart w:id="27" w:name="_Toc14495"/>
    </w:p>
    <w:p w14:paraId="55016776">
      <w:pPr>
        <w:adjustRightInd w:val="0"/>
        <w:snapToGrid w:val="0"/>
        <w:spacing w:line="360" w:lineRule="auto"/>
        <w:ind w:firstLine="514" w:firstLineChars="198"/>
        <w:outlineLvl w:val="1"/>
        <w:rPr>
          <w:rFonts w:eastAsia="黑体"/>
          <w:bCs/>
          <w:color w:val="000000"/>
          <w:spacing w:val="10"/>
          <w:sz w:val="24"/>
          <w:szCs w:val="24"/>
        </w:rPr>
      </w:pPr>
      <w:r>
        <w:rPr>
          <w:rFonts w:eastAsia="黑体"/>
          <w:bCs/>
          <w:color w:val="000000"/>
          <w:spacing w:val="10"/>
          <w:sz w:val="24"/>
          <w:szCs w:val="24"/>
        </w:rPr>
        <w:t>二、</w:t>
      </w:r>
      <w:r>
        <w:rPr>
          <w:rFonts w:hint="eastAsia" w:eastAsia="黑体"/>
          <w:bCs/>
          <w:color w:val="000000"/>
          <w:spacing w:val="10"/>
          <w:sz w:val="24"/>
          <w:szCs w:val="24"/>
        </w:rPr>
        <w:t>响应人</w:t>
      </w:r>
      <w:r>
        <w:rPr>
          <w:rFonts w:eastAsia="黑体"/>
          <w:bCs/>
          <w:color w:val="000000"/>
          <w:spacing w:val="10"/>
          <w:sz w:val="24"/>
          <w:szCs w:val="24"/>
        </w:rPr>
        <w:t>资格要求</w:t>
      </w:r>
      <w:bookmarkEnd w:id="16"/>
      <w:bookmarkEnd w:id="17"/>
      <w:bookmarkEnd w:id="18"/>
      <w:bookmarkEnd w:id="19"/>
      <w:bookmarkEnd w:id="20"/>
      <w:bookmarkEnd w:id="21"/>
      <w:bookmarkEnd w:id="22"/>
      <w:bookmarkEnd w:id="23"/>
      <w:bookmarkEnd w:id="24"/>
      <w:bookmarkEnd w:id="25"/>
      <w:bookmarkEnd w:id="26"/>
      <w:bookmarkEnd w:id="27"/>
    </w:p>
    <w:p w14:paraId="2ABE14E3">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1.一般资格要求：</w:t>
      </w:r>
    </w:p>
    <w:p w14:paraId="58EDD887">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（1）响应人</w:t>
      </w:r>
      <w:r>
        <w:rPr>
          <w:rFonts w:hint="eastAsia" w:ascii="仿宋_GB2312" w:hAnsi="仿宋_GB2312" w:eastAsia="仿宋_GB2312" w:cs="仿宋_GB2312"/>
          <w:color w:val="000000"/>
          <w:spacing w:val="10"/>
          <w:sz w:val="24"/>
          <w:szCs w:val="24"/>
          <w:lang w:val="en-US" w:eastAsia="zh-CN"/>
        </w:rPr>
        <w:t>依法成立，完成工商登记并能提供</w:t>
      </w:r>
      <w:r>
        <w:rPr>
          <w:rFonts w:hint="eastAsia" w:ascii="仿宋_GB2312" w:hAnsi="仿宋_GB2312" w:eastAsia="仿宋_GB2312" w:cs="仿宋_GB2312"/>
          <w:color w:val="000000"/>
          <w:spacing w:val="10"/>
          <w:sz w:val="24"/>
          <w:szCs w:val="24"/>
        </w:rPr>
        <w:t>合法有效的营业执照；</w:t>
      </w:r>
    </w:p>
    <w:p w14:paraId="03003FAF">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（2）具有良好的商业信誉和健全的财务会计制度（提供承诺函）；</w:t>
      </w:r>
    </w:p>
    <w:p w14:paraId="2B265E88">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（3）具有履行合同所必需的证照和专业技术能力（提供承诺函）；</w:t>
      </w:r>
    </w:p>
    <w:p w14:paraId="0E5B55FD">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（4）有依法缴纳税收和社会保障资金的良好记录（提供承诺函）；</w:t>
      </w:r>
    </w:p>
    <w:p w14:paraId="036D6A31">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（5）响应人近三年（2022年1月1日至今）</w:t>
      </w:r>
      <w:r>
        <w:rPr>
          <w:rFonts w:hint="eastAsia" w:ascii="仿宋_GB2312" w:hAnsi="仿宋_GB2312" w:eastAsia="仿宋_GB2312" w:cs="仿宋_GB2312"/>
          <w:color w:val="000000"/>
          <w:spacing w:val="10"/>
          <w:sz w:val="24"/>
          <w:szCs w:val="24"/>
          <w:lang w:val="en-US" w:eastAsia="zh-CN"/>
        </w:rPr>
        <w:t>未受过行政处罚</w:t>
      </w:r>
      <w:r>
        <w:rPr>
          <w:rFonts w:hint="eastAsia" w:ascii="仿宋_GB2312" w:hAnsi="仿宋_GB2312" w:eastAsia="仿宋_GB2312" w:cs="仿宋_GB2312"/>
          <w:color w:val="000000"/>
          <w:spacing w:val="10"/>
          <w:sz w:val="24"/>
          <w:szCs w:val="24"/>
        </w:rPr>
        <w:t>（以“国家企业信用信息公示系统”</w:t>
      </w:r>
      <w:r>
        <w:rPr>
          <w:rFonts w:hint="eastAsia" w:ascii="仿宋_GB2312" w:hAnsi="仿宋_GB2312" w:eastAsia="仿宋_GB2312" w:cs="仿宋_GB2312"/>
          <w:color w:val="000000"/>
          <w:spacing w:val="10"/>
          <w:sz w:val="24"/>
          <w:szCs w:val="24"/>
        </w:rPr>
        <w:fldChar w:fldCharType="begin"/>
      </w:r>
      <w:r>
        <w:rPr>
          <w:rFonts w:hint="eastAsia" w:ascii="仿宋_GB2312" w:hAnsi="仿宋_GB2312" w:eastAsia="仿宋_GB2312" w:cs="仿宋_GB2312"/>
          <w:color w:val="000000"/>
          <w:spacing w:val="10"/>
          <w:sz w:val="24"/>
          <w:szCs w:val="24"/>
        </w:rPr>
        <w:instrText xml:space="preserve"> HYPERLINK "http://www.gsxt.gov.cn" </w:instrText>
      </w:r>
      <w:r>
        <w:rPr>
          <w:rFonts w:hint="eastAsia" w:ascii="仿宋_GB2312" w:hAnsi="仿宋_GB2312" w:eastAsia="仿宋_GB2312" w:cs="仿宋_GB2312"/>
          <w:color w:val="000000"/>
          <w:spacing w:val="10"/>
          <w:sz w:val="24"/>
          <w:szCs w:val="24"/>
        </w:rPr>
        <w:fldChar w:fldCharType="separate"/>
      </w:r>
      <w:r>
        <w:rPr>
          <w:rStyle w:val="9"/>
          <w:rFonts w:hint="eastAsia" w:ascii="仿宋_GB2312" w:hAnsi="仿宋_GB2312" w:eastAsia="仿宋_GB2312" w:cs="仿宋_GB2312"/>
          <w:spacing w:val="10"/>
          <w:sz w:val="24"/>
          <w:szCs w:val="24"/>
        </w:rPr>
        <w:t>http://www.gsxt.gov.cn</w:t>
      </w:r>
      <w:r>
        <w:rPr>
          <w:rFonts w:hint="eastAsia" w:ascii="仿宋_GB2312" w:hAnsi="仿宋_GB2312" w:eastAsia="仿宋_GB2312" w:cs="仿宋_GB2312"/>
          <w:color w:val="000000"/>
          <w:spacing w:val="10"/>
          <w:sz w:val="24"/>
          <w:szCs w:val="24"/>
        </w:rPr>
        <w:fldChar w:fldCharType="end"/>
      </w:r>
      <w:r>
        <w:rPr>
          <w:rFonts w:hint="eastAsia" w:ascii="仿宋_GB2312" w:hAnsi="仿宋_GB2312" w:eastAsia="仿宋_GB2312" w:cs="仿宋_GB2312"/>
          <w:color w:val="000000"/>
          <w:spacing w:val="10"/>
          <w:sz w:val="24"/>
          <w:szCs w:val="24"/>
        </w:rPr>
        <w:t>下载的最新报告或查询截图为准），近三年（2022年1月1日至今）内未列入失信被执行人名单(</w:t>
      </w:r>
      <w:r>
        <w:rPr>
          <w:rFonts w:hint="eastAsia" w:ascii="仿宋_GB2312" w:hAnsi="仿宋_GB2312" w:eastAsia="仿宋_GB2312" w:cs="仿宋_GB2312"/>
          <w:color w:val="000000"/>
          <w:spacing w:val="10"/>
          <w:sz w:val="24"/>
          <w:szCs w:val="24"/>
          <w:lang w:val="en-US" w:eastAsia="zh-CN"/>
        </w:rPr>
        <w:t>以</w:t>
      </w:r>
      <w:r>
        <w:rPr>
          <w:rFonts w:hint="eastAsia" w:ascii="仿宋_GB2312" w:hAnsi="仿宋_GB2312" w:eastAsia="仿宋_GB2312" w:cs="仿宋_GB2312"/>
          <w:color w:val="000000"/>
          <w:spacing w:val="10"/>
          <w:sz w:val="24"/>
          <w:szCs w:val="24"/>
        </w:rPr>
        <w:t>“中国执行信息公开网”</w:t>
      </w:r>
      <w:r>
        <w:rPr>
          <w:rFonts w:hint="eastAsia" w:ascii="仿宋_GB2312" w:hAnsi="仿宋_GB2312" w:eastAsia="仿宋_GB2312" w:cs="仿宋_GB2312"/>
          <w:color w:val="000000"/>
          <w:spacing w:val="10"/>
          <w:sz w:val="24"/>
          <w:szCs w:val="24"/>
        </w:rPr>
        <w:fldChar w:fldCharType="begin"/>
      </w:r>
      <w:r>
        <w:rPr>
          <w:rFonts w:hint="eastAsia" w:ascii="仿宋_GB2312" w:hAnsi="仿宋_GB2312" w:eastAsia="仿宋_GB2312" w:cs="仿宋_GB2312"/>
          <w:color w:val="000000"/>
          <w:spacing w:val="10"/>
          <w:sz w:val="24"/>
          <w:szCs w:val="24"/>
        </w:rPr>
        <w:instrText xml:space="preserve"> HYPERLINK "https://zxgk.court.gov.cn/" </w:instrText>
      </w:r>
      <w:r>
        <w:rPr>
          <w:rFonts w:hint="eastAsia" w:ascii="仿宋_GB2312" w:hAnsi="仿宋_GB2312" w:eastAsia="仿宋_GB2312" w:cs="仿宋_GB2312"/>
          <w:color w:val="000000"/>
          <w:spacing w:val="10"/>
          <w:sz w:val="24"/>
          <w:szCs w:val="24"/>
        </w:rPr>
        <w:fldChar w:fldCharType="separate"/>
      </w:r>
      <w:r>
        <w:rPr>
          <w:rStyle w:val="10"/>
          <w:rFonts w:hint="eastAsia" w:ascii="仿宋_GB2312" w:hAnsi="仿宋_GB2312" w:eastAsia="仿宋_GB2312" w:cs="仿宋_GB2312"/>
          <w:spacing w:val="10"/>
          <w:sz w:val="24"/>
          <w:szCs w:val="24"/>
        </w:rPr>
        <w:t>https://zxgk.court.gov.cn/</w:t>
      </w:r>
      <w:r>
        <w:rPr>
          <w:rFonts w:hint="eastAsia" w:ascii="仿宋_GB2312" w:hAnsi="仿宋_GB2312" w:eastAsia="仿宋_GB2312" w:cs="仿宋_GB2312"/>
          <w:color w:val="000000"/>
          <w:spacing w:val="10"/>
          <w:sz w:val="24"/>
          <w:szCs w:val="24"/>
        </w:rPr>
        <w:fldChar w:fldCharType="end"/>
      </w:r>
      <w:r>
        <w:rPr>
          <w:rFonts w:hint="eastAsia" w:ascii="仿宋_GB2312" w:hAnsi="仿宋_GB2312" w:eastAsia="仿宋_GB2312" w:cs="仿宋_GB2312"/>
          <w:color w:val="000000"/>
          <w:spacing w:val="10"/>
          <w:sz w:val="24"/>
          <w:szCs w:val="24"/>
        </w:rPr>
        <w:t>查询截图为准)。</w:t>
      </w:r>
    </w:p>
    <w:p w14:paraId="79048162">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2.本项目特定资格要求：</w:t>
      </w:r>
    </w:p>
    <w:p w14:paraId="090756BB">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1）类似的业绩：提供签订或生效日期自2022年1月以来2个类似业绩；注：类似业绩是指年度金额不低于20万的企业补充医疗项目，包括住院医疗、门诊医疗、重大疾病等保障的一年期及以上团体保险。需提供合同/保单复印件，并加盖响应人公章/具备法律效力的保单章。</w:t>
      </w:r>
    </w:p>
    <w:p w14:paraId="347F65AA">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（2）资质要求：中国保险监督管理委员会或中国银行保险监督管理委员会核发的《经营保险业务许可证》或保险许可证或保险公司法人许可证；</w:t>
      </w:r>
    </w:p>
    <w:p w14:paraId="574DD455">
      <w:pPr>
        <w:adjustRightInd w:val="0"/>
        <w:snapToGrid w:val="0"/>
        <w:spacing w:line="360" w:lineRule="auto"/>
        <w:ind w:firstLine="520" w:firstLineChars="200"/>
        <w:rPr>
          <w:rFonts w:ascii="仿宋_GB2312" w:hAnsi="仿宋_GB2312" w:eastAsia="仿宋_GB2312" w:cs="仿宋_GB2312"/>
          <w:color w:val="000000"/>
          <w:spacing w:val="10"/>
          <w:sz w:val="24"/>
          <w:szCs w:val="24"/>
        </w:rPr>
      </w:pPr>
      <w:r>
        <w:rPr>
          <w:rFonts w:hint="eastAsia" w:ascii="仿宋_GB2312" w:hAnsi="仿宋_GB2312" w:eastAsia="仿宋_GB2312" w:cs="仿宋_GB2312"/>
          <w:color w:val="000000"/>
          <w:spacing w:val="10"/>
          <w:sz w:val="24"/>
          <w:szCs w:val="24"/>
        </w:rPr>
        <w:t>（3）本项目不接受联合体参加比选。</w:t>
      </w:r>
    </w:p>
    <w:p w14:paraId="11A36C07">
      <w:pPr>
        <w:adjustRightInd w:val="0"/>
        <w:snapToGrid w:val="0"/>
        <w:spacing w:line="360" w:lineRule="auto"/>
        <w:ind w:firstLine="514" w:firstLineChars="198"/>
        <w:outlineLvl w:val="1"/>
        <w:rPr>
          <w:rFonts w:eastAsia="黑体"/>
          <w:bCs/>
          <w:color w:val="000000"/>
          <w:spacing w:val="10"/>
          <w:sz w:val="24"/>
          <w:szCs w:val="24"/>
        </w:rPr>
      </w:pPr>
      <w:bookmarkStart w:id="28" w:name="_Toc11880"/>
      <w:bookmarkStart w:id="29" w:name="_Toc11555"/>
      <w:r>
        <w:rPr>
          <w:rFonts w:hint="eastAsia" w:eastAsia="黑体"/>
          <w:bCs/>
          <w:color w:val="000000"/>
          <w:spacing w:val="10"/>
          <w:sz w:val="24"/>
          <w:szCs w:val="24"/>
        </w:rPr>
        <w:t>三、比选文件的获取</w:t>
      </w:r>
      <w:bookmarkEnd w:id="28"/>
      <w:bookmarkEnd w:id="29"/>
    </w:p>
    <w:p w14:paraId="26CAD25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响应人请于</w:t>
      </w:r>
      <w:r>
        <w:rPr>
          <w:rFonts w:hint="eastAsia" w:ascii="仿宋_GB2312" w:hAnsi="仿宋_GB2312" w:eastAsia="仿宋_GB2312" w:cs="仿宋_GB2312"/>
          <w:sz w:val="24"/>
          <w:szCs w:val="24"/>
          <w:u w:val="single"/>
        </w:rPr>
        <w:t>2025年10月17日至2025年10月23日17:00时</w:t>
      </w:r>
      <w:r>
        <w:rPr>
          <w:rFonts w:hint="eastAsia" w:ascii="仿宋_GB2312" w:hAnsi="仿宋_GB2312" w:eastAsia="仿宋_GB2312" w:cs="仿宋_GB2312"/>
          <w:sz w:val="24"/>
          <w:szCs w:val="24"/>
        </w:rPr>
        <w:t>（北京时间，下同），通过天府阳光采购服务平台（http://scny.tfygcgfw.com/）报名获取比选文件。</w:t>
      </w:r>
    </w:p>
    <w:p w14:paraId="23835E3C">
      <w:pPr>
        <w:spacing w:line="360" w:lineRule="auto"/>
        <w:ind w:left="420"/>
        <w:rPr>
          <w:rFonts w:hint="eastAsia" w:ascii="宋体" w:hAnsi="宋体"/>
          <w:b/>
          <w:sz w:val="24"/>
          <w:szCs w:val="24"/>
        </w:rPr>
      </w:pPr>
      <w:r>
        <w:rPr>
          <w:rFonts w:hint="eastAsia" w:eastAsia="黑体"/>
          <w:bCs/>
          <w:color w:val="000000"/>
          <w:spacing w:val="10"/>
          <w:sz w:val="24"/>
          <w:szCs w:val="24"/>
        </w:rPr>
        <w:t>四、响应文件</w:t>
      </w:r>
      <w:r>
        <w:rPr>
          <w:rFonts w:eastAsia="黑体"/>
          <w:bCs/>
          <w:color w:val="000000"/>
          <w:spacing w:val="10"/>
          <w:sz w:val="24"/>
          <w:szCs w:val="24"/>
        </w:rPr>
        <w:t>的递交截止时间及递交地点</w:t>
      </w:r>
    </w:p>
    <w:p w14:paraId="6F570AA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1.响应文件递交时间为</w:t>
      </w:r>
      <w:r>
        <w:rPr>
          <w:rFonts w:hint="eastAsia" w:ascii="仿宋_GB2312" w:hAnsi="仿宋_GB2312" w:eastAsia="仿宋_GB2312" w:cs="仿宋_GB2312"/>
          <w:sz w:val="24"/>
          <w:szCs w:val="24"/>
          <w:u w:val="single"/>
        </w:rPr>
        <w:t>2025年10月27日9时30分</w:t>
      </w:r>
      <w:r>
        <w:rPr>
          <w:rFonts w:hint="eastAsia" w:ascii="仿宋_GB2312" w:hAnsi="仿宋_GB2312" w:eastAsia="仿宋_GB2312" w:cs="仿宋_GB2312"/>
          <w:sz w:val="24"/>
          <w:szCs w:val="24"/>
        </w:rPr>
        <w:t>，地点为</w:t>
      </w:r>
      <w:r>
        <w:rPr>
          <w:rFonts w:hint="eastAsia" w:ascii="仿宋_GB2312" w:hAnsi="仿宋_GB2312" w:eastAsia="仿宋_GB2312" w:cs="仿宋_GB2312"/>
          <w:sz w:val="24"/>
          <w:szCs w:val="24"/>
          <w:u w:val="single"/>
        </w:rPr>
        <w:t>成都市双流区金河路66号四川国际网球中心大会议室（ZN118）。</w:t>
      </w:r>
    </w:p>
    <w:p w14:paraId="5FC76E07">
      <w:pPr>
        <w:adjustRightInd w:val="0"/>
        <w:snapToGrid w:val="0"/>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2.出现以下情形之一时，比选人不予接收响应文件：</w:t>
      </w:r>
    </w:p>
    <w:p w14:paraId="27464303">
      <w:pPr>
        <w:adjustRightInd w:val="0"/>
        <w:snapToGrid w:val="0"/>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①逾期送达或者未送达指定地点的；</w:t>
      </w:r>
    </w:p>
    <w:p w14:paraId="5D1081EF">
      <w:pPr>
        <w:adjustRightInd w:val="0"/>
        <w:snapToGrid w:val="0"/>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②未按照本公告要求获得本项目比选文件的。</w:t>
      </w:r>
    </w:p>
    <w:p w14:paraId="20BC4BD0">
      <w:pPr>
        <w:spacing w:line="360" w:lineRule="auto"/>
        <w:ind w:left="420"/>
        <w:rPr>
          <w:rFonts w:eastAsia="黑体"/>
          <w:bCs/>
          <w:color w:val="000000"/>
          <w:spacing w:val="10"/>
          <w:sz w:val="24"/>
          <w:szCs w:val="24"/>
        </w:rPr>
      </w:pPr>
      <w:r>
        <w:rPr>
          <w:rFonts w:hint="eastAsia" w:eastAsia="黑体"/>
          <w:bCs/>
          <w:color w:val="000000"/>
          <w:spacing w:val="10"/>
          <w:sz w:val="24"/>
          <w:szCs w:val="24"/>
        </w:rPr>
        <w:t>五、比选公告发布</w:t>
      </w:r>
    </w:p>
    <w:p w14:paraId="55BA08DF">
      <w:pPr>
        <w:spacing w:line="360" w:lineRule="auto"/>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本比选公告在四川川投国际网球中心开发有限责任公司官网（</w:t>
      </w:r>
      <w:r>
        <w:rPr>
          <w:sz w:val="24"/>
          <w:szCs w:val="24"/>
        </w:rPr>
        <w:fldChar w:fldCharType="begin"/>
      </w:r>
      <w:r>
        <w:rPr>
          <w:sz w:val="24"/>
          <w:szCs w:val="24"/>
        </w:rPr>
        <w:instrText xml:space="preserve"> HYPERLINK "http://www.sciitc.com/" </w:instrText>
      </w:r>
      <w:r>
        <w:rPr>
          <w:sz w:val="24"/>
          <w:szCs w:val="24"/>
        </w:rPr>
        <w:fldChar w:fldCharType="separate"/>
      </w:r>
      <w:r>
        <w:rPr>
          <w:rFonts w:hint="eastAsia" w:ascii="仿宋_GB2312" w:hAnsi="仿宋_GB2312" w:eastAsia="仿宋_GB2312" w:cs="仿宋_GB2312"/>
          <w:color w:val="000000"/>
          <w:sz w:val="24"/>
          <w:szCs w:val="24"/>
        </w:rPr>
        <w:t>http://www.sciitc.com/</w:t>
      </w:r>
      <w:r>
        <w:rPr>
          <w:rFonts w:hint="eastAsia" w:ascii="仿宋_GB2312" w:hAnsi="仿宋_GB2312" w:eastAsia="仿宋_GB2312" w:cs="仿宋_GB2312"/>
          <w:color w:val="000000"/>
          <w:sz w:val="24"/>
          <w:szCs w:val="24"/>
        </w:rPr>
        <w:fldChar w:fldCharType="end"/>
      </w:r>
      <w:r>
        <w:rPr>
          <w:rFonts w:hint="eastAsia" w:ascii="仿宋_GB2312" w:hAnsi="仿宋_GB2312" w:eastAsia="仿宋_GB2312" w:cs="仿宋_GB2312"/>
          <w:color w:val="000000"/>
          <w:sz w:val="24"/>
          <w:szCs w:val="24"/>
        </w:rPr>
        <w:t>）及天府阳光采购服务平台（http://scny.tfygcgfw.com/）发布。</w:t>
      </w:r>
    </w:p>
    <w:p w14:paraId="1AD65AD8">
      <w:pPr>
        <w:tabs>
          <w:tab w:val="left" w:pos="7784"/>
        </w:tabs>
        <w:spacing w:line="360" w:lineRule="auto"/>
        <w:ind w:left="420"/>
        <w:rPr>
          <w:rFonts w:eastAsia="黑体"/>
          <w:bCs/>
          <w:color w:val="000000"/>
          <w:spacing w:val="10"/>
          <w:sz w:val="24"/>
          <w:szCs w:val="24"/>
        </w:rPr>
      </w:pPr>
      <w:r>
        <w:rPr>
          <w:rFonts w:hint="eastAsia" w:eastAsia="黑体"/>
          <w:bCs/>
          <w:color w:val="000000"/>
          <w:spacing w:val="10"/>
          <w:sz w:val="24"/>
          <w:szCs w:val="24"/>
        </w:rPr>
        <w:t>六、联系方式</w:t>
      </w:r>
      <w:r>
        <w:rPr>
          <w:rFonts w:hint="eastAsia" w:eastAsia="黑体"/>
          <w:bCs/>
          <w:color w:val="000000"/>
          <w:spacing w:val="10"/>
          <w:sz w:val="24"/>
          <w:szCs w:val="24"/>
        </w:rPr>
        <w:tab/>
      </w:r>
    </w:p>
    <w:p w14:paraId="7CCA7FF6">
      <w:pPr>
        <w:widowControl/>
        <w:spacing w:line="360" w:lineRule="auto"/>
        <w:ind w:firstLine="480" w:firstLineChars="200"/>
        <w:jc w:val="left"/>
        <w:outlineLvl w:val="0"/>
        <w:rPr>
          <w:rFonts w:ascii="仿宋_GB2312" w:hAnsi="仿宋_GB2312" w:eastAsia="仿宋_GB2312" w:cs="仿宋_GB2312"/>
          <w:sz w:val="24"/>
          <w:szCs w:val="24"/>
        </w:rPr>
      </w:pPr>
      <w:bookmarkStart w:id="30" w:name="_Toc20124"/>
      <w:bookmarkStart w:id="31" w:name="_Toc14948"/>
      <w:r>
        <w:rPr>
          <w:rFonts w:hint="eastAsia" w:ascii="仿宋_GB2312" w:hAnsi="仿宋_GB2312" w:eastAsia="仿宋_GB2312" w:cs="仿宋_GB2312"/>
          <w:sz w:val="24"/>
          <w:szCs w:val="24"/>
        </w:rPr>
        <w:t>比选人:四川川投国际网球中心开发有限责任公司</w:t>
      </w:r>
      <w:bookmarkEnd w:id="30"/>
      <w:bookmarkEnd w:id="31"/>
    </w:p>
    <w:p w14:paraId="274ACE2F">
      <w:pPr>
        <w:widowControl/>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地址: 成都市双流区金河路66号</w:t>
      </w:r>
    </w:p>
    <w:p w14:paraId="364AA8C6">
      <w:pPr>
        <w:pStyle w:val="4"/>
        <w:spacing w:line="360" w:lineRule="auto"/>
        <w:ind w:firstLine="480" w:firstLineChars="200"/>
        <w:rPr>
          <w:sz w:val="24"/>
          <w:szCs w:val="24"/>
        </w:rPr>
      </w:pPr>
      <w:r>
        <w:rPr>
          <w:rFonts w:hint="eastAsia" w:ascii="仿宋_GB2312" w:hAnsi="仿宋_GB2312" w:cs="仿宋_GB2312"/>
          <w:sz w:val="24"/>
          <w:szCs w:val="24"/>
        </w:rPr>
        <w:t>邮编：610200</w:t>
      </w:r>
    </w:p>
    <w:p w14:paraId="40C0B334">
      <w:pPr>
        <w:widowControl/>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联系人: 何女士   </w:t>
      </w:r>
    </w:p>
    <w:p w14:paraId="2FF9E5D3">
      <w:pPr>
        <w:widowControl/>
        <w:spacing w:line="360" w:lineRule="auto"/>
        <w:ind w:firstLine="48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4"/>
          <w:szCs w:val="24"/>
        </w:rPr>
        <w:t>电话：028-85893078</w:t>
      </w:r>
    </w:p>
    <w:p w14:paraId="207CDB9D">
      <w:pPr>
        <w:spacing w:line="360" w:lineRule="auto"/>
        <w:ind w:firstLine="480" w:firstLineChars="200"/>
        <w:rPr>
          <w:rFonts w:hint="eastAsia" w:ascii="宋体" w:hAnsi="宋体" w:cs="宋体"/>
          <w:sz w:val="24"/>
        </w:rPr>
      </w:pPr>
    </w:p>
    <w:p w14:paraId="3FC70389">
      <w:pPr>
        <w:spacing w:line="360" w:lineRule="auto"/>
        <w:ind w:firstLine="480" w:firstLineChars="200"/>
        <w:rPr>
          <w:rFonts w:hint="eastAsia" w:ascii="宋体" w:hAnsi="宋体" w:cs="宋体"/>
          <w:sz w:val="24"/>
        </w:rPr>
      </w:pPr>
    </w:p>
    <w:p w14:paraId="2C9D2E60">
      <w:pPr>
        <w:spacing w:line="360" w:lineRule="auto"/>
        <w:ind w:firstLine="480" w:firstLineChars="200"/>
        <w:rPr>
          <w:rFonts w:hint="eastAsia" w:ascii="宋体" w:hAnsi="宋体" w:cs="宋体"/>
          <w:sz w:val="24"/>
        </w:rPr>
      </w:pPr>
    </w:p>
    <w:p w14:paraId="6D30950B">
      <w:pPr>
        <w:spacing w:line="360" w:lineRule="auto"/>
        <w:ind w:firstLine="480" w:firstLineChars="200"/>
        <w:jc w:val="righ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四川川投国际网球中心开发有限责任公司</w:t>
      </w:r>
    </w:p>
    <w:p w14:paraId="77D7B942">
      <w:pPr>
        <w:spacing w:line="360" w:lineRule="auto"/>
        <w:ind w:left="1260" w:leftChars="0" w:firstLine="4238" w:firstLineChars="1766"/>
        <w:jc w:val="center"/>
        <w:rPr>
          <w:rFonts w:hint="eastAsia" w:ascii="仿宋_GB2312" w:hAnsi="仿宋_GB2312" w:eastAsia="仿宋_GB2312" w:cs="仿宋_GB2312"/>
          <w:sz w:val="44"/>
          <w:szCs w:val="44"/>
        </w:rPr>
      </w:pPr>
      <w:r>
        <w:rPr>
          <w:rFonts w:hint="eastAsia" w:ascii="仿宋_GB2312" w:hAnsi="仿宋_GB2312" w:eastAsia="仿宋_GB2312" w:cs="仿宋_GB2312"/>
          <w:kern w:val="2"/>
          <w:sz w:val="24"/>
          <w:szCs w:val="24"/>
          <w:lang w:val="en-US" w:eastAsia="zh-CN" w:bidi="ar-SA"/>
        </w:rPr>
        <w:t>2025年10月17日</w:t>
      </w:r>
    </w:p>
    <w:sectPr>
      <w:pgSz w:w="11906" w:h="16838"/>
      <w:pgMar w:top="1440"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YWZhOWEyNmZmNGU4ZDYxOTkzMTFmODMzN2JlY2UifQ=="/>
    <w:docVar w:name="KSO_WPS_MARK_KEY" w:val="28102570-3888-4551-9bf2-760c943aaae8"/>
  </w:docVars>
  <w:rsids>
    <w:rsidRoot w:val="65BA4F18"/>
    <w:rsid w:val="11542DB6"/>
    <w:rsid w:val="1BD04625"/>
    <w:rsid w:val="25F8628C"/>
    <w:rsid w:val="2A8046CE"/>
    <w:rsid w:val="2B24311E"/>
    <w:rsid w:val="2CE46EA1"/>
    <w:rsid w:val="2D3F457D"/>
    <w:rsid w:val="364C3692"/>
    <w:rsid w:val="37154C0A"/>
    <w:rsid w:val="39A30C17"/>
    <w:rsid w:val="3EC414A9"/>
    <w:rsid w:val="3F734A18"/>
    <w:rsid w:val="45434FF7"/>
    <w:rsid w:val="47B56720"/>
    <w:rsid w:val="4FCE076D"/>
    <w:rsid w:val="50FE2117"/>
    <w:rsid w:val="5635755B"/>
    <w:rsid w:val="563B6FEB"/>
    <w:rsid w:val="57CF0993"/>
    <w:rsid w:val="65BA4F18"/>
    <w:rsid w:val="69327A7F"/>
    <w:rsid w:val="70197967"/>
    <w:rsid w:val="769B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jc w:val="center"/>
    </w:pPr>
  </w:style>
  <w:style w:type="paragraph" w:styleId="4">
    <w:name w:val="Body Text"/>
    <w:basedOn w:val="1"/>
    <w:next w:val="1"/>
    <w:qFormat/>
    <w:uiPriority w:val="0"/>
    <w:rPr>
      <w:rFonts w:eastAsia="仿宋_GB2312"/>
      <w:sz w:val="32"/>
    </w:rPr>
  </w:style>
  <w:style w:type="paragraph" w:styleId="5">
    <w:name w:val="Body Text First Indent"/>
    <w:basedOn w:val="4"/>
    <w:unhideWhenUsed/>
    <w:qFormat/>
    <w:uiPriority w:val="0"/>
    <w:pPr>
      <w:spacing w:line="440" w:lineRule="exact"/>
      <w:ind w:firstLine="420" w:firstLineChars="200"/>
    </w:pPr>
    <w:rPr>
      <w:szCs w:val="20"/>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666666"/>
      <w:u w:val="none"/>
    </w:rPr>
  </w:style>
  <w:style w:type="character" w:styleId="10">
    <w:name w:val="Hyperlink"/>
    <w:basedOn w:val="8"/>
    <w:uiPriority w:val="0"/>
    <w:rPr>
      <w:color w:val="0000FF"/>
      <w:u w:val="single"/>
    </w:rPr>
  </w:style>
  <w:style w:type="paragraph" w:customStyle="1" w:styleId="11">
    <w:name w:val="标题 5（有编号）（绿盟科技）"/>
    <w:basedOn w:val="1"/>
    <w:next w:val="1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1223</Characters>
  <Lines>0</Lines>
  <Paragraphs>0</Paragraphs>
  <TotalTime>66</TotalTime>
  <ScaleCrop>false</ScaleCrop>
  <LinksUpToDate>false</LinksUpToDate>
  <CharactersWithSpaces>1229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2023-12-10T10:32:00Z</dcterms:created>
  <dc:creator>Mary</dc:creator>
  <cp:lastModifiedBy>HP</cp:lastModifiedBy>
  <dcterms:modified xsi:type="dcterms:W3CDTF">2025-10-17T09:22:16Z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910FF1044EA84E428290ED07C2843D38_11</vt:lpwstr>
  </property>
  <property fmtid="{D5CDD505-2E9C-101B-9397-08002B2CF9AE}" pid="4" name="KSOTemplateDocerSaveRecord">
    <vt:lpwstr>eyJoZGlkIjoiOTY2YWZhOWEyNmZmNGU4ZDYxOTkzMTFmODMzN2JlY2UifQ==</vt:lpwstr>
  </property>
</Properties>
</file>