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EF12E">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rPr>
      </w:pPr>
      <w:bookmarkStart w:id="0" w:name="_Toc29623_WPSOffice_Level2"/>
      <w:bookmarkStart w:id="1" w:name="_Toc29517_WPSOffice_Level2"/>
      <w:bookmarkStart w:id="2" w:name="_Toc11488"/>
      <w:bookmarkStart w:id="3" w:name="_Toc11202_WPSOffice_Level2"/>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年四川川投国际网球中心系列国际</w:t>
      </w:r>
    </w:p>
    <w:p w14:paraId="6A41213B">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cs="宋体"/>
          <w:b/>
          <w:bCs/>
          <w:sz w:val="44"/>
          <w:szCs w:val="44"/>
          <w:lang w:val="en-US" w:eastAsia="zh-CN"/>
        </w:rPr>
      </w:pPr>
      <w:r>
        <w:rPr>
          <w:rFonts w:hint="eastAsia" w:ascii="宋体" w:hAnsi="宋体" w:eastAsia="宋体" w:cs="宋体"/>
          <w:b/>
          <w:bCs/>
          <w:sz w:val="44"/>
          <w:szCs w:val="44"/>
        </w:rPr>
        <w:t>网球赛事及其他经营活动大巴租赁</w:t>
      </w:r>
      <w:r>
        <w:rPr>
          <w:rFonts w:hint="eastAsia" w:ascii="宋体" w:hAnsi="宋体" w:cs="宋体"/>
          <w:b/>
          <w:bCs/>
          <w:sz w:val="44"/>
          <w:szCs w:val="44"/>
          <w:lang w:val="en-US" w:eastAsia="zh-CN"/>
        </w:rPr>
        <w:t>项目</w:t>
      </w:r>
    </w:p>
    <w:p w14:paraId="50261378">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比选</w:t>
      </w:r>
      <w:r>
        <w:rPr>
          <w:rFonts w:hint="eastAsia" w:ascii="宋体" w:hAnsi="宋体" w:cs="宋体"/>
          <w:b/>
          <w:bCs/>
          <w:sz w:val="44"/>
          <w:szCs w:val="44"/>
          <w:lang w:val="en-US" w:eastAsia="zh-CN"/>
        </w:rPr>
        <w:t>公告</w:t>
      </w:r>
    </w:p>
    <w:p w14:paraId="7CC83543">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cs="宋体"/>
          <w:sz w:val="28"/>
          <w:szCs w:val="28"/>
        </w:rPr>
      </w:pPr>
    </w:p>
    <w:bookmarkEnd w:id="0"/>
    <w:bookmarkEnd w:id="1"/>
    <w:bookmarkEnd w:id="2"/>
    <w:bookmarkEnd w:id="3"/>
    <w:p w14:paraId="12024E1B">
      <w:pPr>
        <w:spacing w:line="360" w:lineRule="auto"/>
        <w:ind w:firstLine="482" w:firstLineChars="200"/>
        <w:outlineLvl w:val="1"/>
        <w:rPr>
          <w:rFonts w:ascii="宋体" w:hAnsi="宋体"/>
          <w:b/>
          <w:sz w:val="24"/>
        </w:rPr>
      </w:pPr>
      <w:bookmarkStart w:id="4" w:name="_Toc1880"/>
      <w:r>
        <w:rPr>
          <w:rFonts w:hint="eastAsia" w:ascii="宋体" w:hAnsi="宋体"/>
          <w:b/>
          <w:sz w:val="24"/>
        </w:rPr>
        <w:t>一、比选条件</w:t>
      </w:r>
      <w:bookmarkEnd w:id="4"/>
    </w:p>
    <w:p w14:paraId="753D54A0">
      <w:pPr>
        <w:spacing w:line="360" w:lineRule="auto"/>
        <w:ind w:firstLine="480" w:firstLineChars="200"/>
        <w:rPr>
          <w:rFonts w:ascii="宋体" w:hAnsi="宋体"/>
          <w:sz w:val="24"/>
        </w:rPr>
      </w:pPr>
      <w:r>
        <w:rPr>
          <w:rFonts w:hint="eastAsia" w:ascii="宋体" w:hAnsi="宋体"/>
          <w:sz w:val="24"/>
        </w:rPr>
        <w:t>川投国网公司根据经营需要，拟对202</w:t>
      </w:r>
      <w:r>
        <w:rPr>
          <w:rFonts w:hint="eastAsia" w:ascii="宋体" w:hAnsi="宋体"/>
          <w:sz w:val="24"/>
          <w:lang w:val="en-US" w:eastAsia="zh-CN"/>
        </w:rPr>
        <w:t>5</w:t>
      </w:r>
      <w:r>
        <w:rPr>
          <w:rFonts w:hint="eastAsia" w:ascii="宋体" w:hAnsi="宋体"/>
          <w:sz w:val="24"/>
        </w:rPr>
        <w:t>年四川川投国际网球中心系列国际网球赛事</w:t>
      </w:r>
      <w:r>
        <w:rPr>
          <w:rFonts w:hint="eastAsia" w:ascii="宋体" w:hAnsi="宋体"/>
          <w:sz w:val="24"/>
          <w:lang w:eastAsia="zh-CN"/>
        </w:rPr>
        <w:t>及其他经营活动</w:t>
      </w:r>
      <w:r>
        <w:rPr>
          <w:rFonts w:hint="eastAsia" w:ascii="宋体" w:hAnsi="宋体"/>
          <w:sz w:val="24"/>
        </w:rPr>
        <w:t>大巴租赁项目进行公开比选。</w:t>
      </w:r>
    </w:p>
    <w:p w14:paraId="6DC16496">
      <w:pPr>
        <w:spacing w:line="360" w:lineRule="auto"/>
        <w:ind w:firstLine="482" w:firstLineChars="200"/>
        <w:outlineLvl w:val="1"/>
        <w:rPr>
          <w:rFonts w:ascii="宋体" w:hAnsi="宋体"/>
          <w:b/>
          <w:sz w:val="24"/>
        </w:rPr>
      </w:pPr>
      <w:bookmarkStart w:id="5" w:name="_Toc14619"/>
      <w:r>
        <w:rPr>
          <w:rFonts w:hint="eastAsia" w:ascii="宋体" w:hAnsi="宋体"/>
          <w:b/>
          <w:sz w:val="24"/>
        </w:rPr>
        <w:t>二、项目概况与比选范围</w:t>
      </w:r>
      <w:bookmarkEnd w:id="5"/>
    </w:p>
    <w:p w14:paraId="5DAD0CD0">
      <w:pPr>
        <w:spacing w:line="360" w:lineRule="auto"/>
        <w:ind w:firstLine="480" w:firstLineChars="200"/>
        <w:rPr>
          <w:rFonts w:ascii="宋体" w:hAnsi="宋体"/>
          <w:sz w:val="24"/>
        </w:rPr>
      </w:pPr>
      <w:r>
        <w:rPr>
          <w:rFonts w:hint="eastAsia" w:ascii="宋体" w:hAnsi="宋体"/>
          <w:sz w:val="24"/>
        </w:rPr>
        <w:t>1.项目概况: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293"/>
      </w:tblGrid>
      <w:tr w14:paraId="3B2C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50" w:type="dxa"/>
            <w:noWrap w:val="0"/>
            <w:vAlign w:val="top"/>
          </w:tcPr>
          <w:p w14:paraId="58A2A59C">
            <w:pPr>
              <w:spacing w:line="360" w:lineRule="auto"/>
              <w:jc w:val="center"/>
              <w:rPr>
                <w:rFonts w:ascii="宋体" w:hAnsi="宋体"/>
                <w:sz w:val="24"/>
              </w:rPr>
            </w:pPr>
            <w:r>
              <w:rPr>
                <w:rFonts w:hint="eastAsia" w:ascii="宋体" w:hAnsi="宋体"/>
                <w:sz w:val="24"/>
              </w:rPr>
              <w:t>比选人</w:t>
            </w:r>
          </w:p>
        </w:tc>
        <w:tc>
          <w:tcPr>
            <w:tcW w:w="6293" w:type="dxa"/>
            <w:noWrap w:val="0"/>
            <w:vAlign w:val="top"/>
          </w:tcPr>
          <w:p w14:paraId="4DF4AB7E">
            <w:pPr>
              <w:spacing w:line="360" w:lineRule="auto"/>
              <w:jc w:val="center"/>
              <w:rPr>
                <w:rFonts w:ascii="宋体" w:hAnsi="宋体"/>
                <w:sz w:val="24"/>
              </w:rPr>
            </w:pPr>
            <w:r>
              <w:rPr>
                <w:rFonts w:hint="eastAsia" w:ascii="宋体" w:hAnsi="宋体"/>
                <w:sz w:val="24"/>
              </w:rPr>
              <w:t>四川川投国际网球中心开发有限责任公司</w:t>
            </w:r>
          </w:p>
        </w:tc>
      </w:tr>
      <w:tr w14:paraId="57FB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50" w:type="dxa"/>
            <w:noWrap w:val="0"/>
            <w:vAlign w:val="top"/>
          </w:tcPr>
          <w:p w14:paraId="4A295E77">
            <w:pPr>
              <w:spacing w:line="360" w:lineRule="auto"/>
              <w:jc w:val="center"/>
              <w:rPr>
                <w:rFonts w:ascii="宋体" w:hAnsi="宋体"/>
                <w:sz w:val="24"/>
              </w:rPr>
            </w:pPr>
            <w:r>
              <w:rPr>
                <w:rFonts w:hint="eastAsia" w:ascii="宋体" w:hAnsi="宋体"/>
                <w:sz w:val="24"/>
              </w:rPr>
              <w:t>项目名称</w:t>
            </w:r>
          </w:p>
        </w:tc>
        <w:tc>
          <w:tcPr>
            <w:tcW w:w="6293" w:type="dxa"/>
            <w:noWrap w:val="0"/>
            <w:vAlign w:val="top"/>
          </w:tcPr>
          <w:p w14:paraId="18D043BA">
            <w:pPr>
              <w:spacing w:line="360" w:lineRule="auto"/>
              <w:jc w:val="center"/>
              <w:rPr>
                <w:rFonts w:hint="eastAsia"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年四川川投国际网球中心系列国际网球赛事及其他经营活动大巴租赁</w:t>
            </w:r>
          </w:p>
        </w:tc>
      </w:tr>
    </w:tbl>
    <w:p w14:paraId="55278C85">
      <w:pPr>
        <w:spacing w:line="360" w:lineRule="auto"/>
        <w:ind w:firstLine="480" w:firstLineChars="200"/>
        <w:rPr>
          <w:rFonts w:ascii="宋体" w:hAnsi="宋体"/>
          <w:sz w:val="24"/>
        </w:rPr>
      </w:pPr>
      <w:r>
        <w:rPr>
          <w:rFonts w:hint="eastAsia" w:ascii="宋体" w:hAnsi="宋体"/>
          <w:sz w:val="24"/>
        </w:rPr>
        <w:t>2.比选内容</w:t>
      </w:r>
    </w:p>
    <w:p w14:paraId="7A1CF951">
      <w:pPr>
        <w:spacing w:line="360" w:lineRule="auto"/>
        <w:ind w:firstLine="600" w:firstLineChars="250"/>
        <w:rPr>
          <w:rFonts w:ascii="宋体" w:hAnsi="宋体"/>
          <w:sz w:val="24"/>
        </w:rPr>
      </w:pPr>
      <w:r>
        <w:rPr>
          <w:rFonts w:hint="eastAsia" w:ascii="宋体" w:hAnsi="宋体"/>
          <w:sz w:val="24"/>
          <w:lang w:eastAsia="zh-CN"/>
        </w:rPr>
        <w:t>响应人</w:t>
      </w:r>
      <w:r>
        <w:rPr>
          <w:rFonts w:hint="eastAsia" w:ascii="宋体" w:hAnsi="宋体"/>
          <w:sz w:val="24"/>
        </w:rPr>
        <w:t>为比选人提供202</w:t>
      </w:r>
      <w:r>
        <w:rPr>
          <w:rFonts w:hint="eastAsia" w:ascii="宋体" w:hAnsi="宋体"/>
          <w:sz w:val="24"/>
          <w:lang w:val="en-US" w:eastAsia="zh-CN"/>
        </w:rPr>
        <w:t>5</w:t>
      </w:r>
      <w:r>
        <w:rPr>
          <w:rFonts w:hint="eastAsia" w:ascii="宋体" w:hAnsi="宋体"/>
          <w:sz w:val="24"/>
        </w:rPr>
        <w:t>年四川川投国际网球中心系列国际网球赛事及其他经营活动大巴租赁服务。</w:t>
      </w:r>
    </w:p>
    <w:p w14:paraId="0F4005D0">
      <w:pPr>
        <w:spacing w:line="360" w:lineRule="auto"/>
        <w:ind w:firstLine="482" w:firstLineChars="200"/>
        <w:outlineLvl w:val="1"/>
        <w:rPr>
          <w:rFonts w:ascii="宋体" w:hAnsi="宋体"/>
          <w:b/>
          <w:sz w:val="24"/>
        </w:rPr>
      </w:pPr>
      <w:bookmarkStart w:id="6" w:name="_Toc20289"/>
      <w:r>
        <w:rPr>
          <w:rFonts w:hint="eastAsia" w:ascii="宋体" w:hAnsi="宋体"/>
          <w:b/>
          <w:sz w:val="24"/>
        </w:rPr>
        <w:t>三、</w:t>
      </w:r>
      <w:r>
        <w:rPr>
          <w:rFonts w:hint="eastAsia" w:ascii="宋体" w:hAnsi="宋体"/>
          <w:b/>
          <w:sz w:val="24"/>
          <w:lang w:eastAsia="zh-CN"/>
        </w:rPr>
        <w:t>响应人</w:t>
      </w:r>
      <w:r>
        <w:rPr>
          <w:rFonts w:hint="eastAsia" w:ascii="宋体" w:hAnsi="宋体"/>
          <w:b/>
          <w:sz w:val="24"/>
        </w:rPr>
        <w:t>资格要求</w:t>
      </w:r>
      <w:bookmarkEnd w:id="6"/>
    </w:p>
    <w:p w14:paraId="56D3EBA7">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响应人</w:t>
      </w:r>
      <w:r>
        <w:rPr>
          <w:rFonts w:hint="eastAsia" w:ascii="宋体" w:hAnsi="宋体"/>
          <w:sz w:val="24"/>
        </w:rPr>
        <w:t>具有独立法人资格，相应的经营范围，并提供营业执照。</w:t>
      </w:r>
    </w:p>
    <w:p w14:paraId="0BAC6028">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响应人</w:t>
      </w:r>
      <w:r>
        <w:rPr>
          <w:rFonts w:hint="eastAsia" w:ascii="宋体" w:hAnsi="宋体"/>
          <w:sz w:val="24"/>
        </w:rPr>
        <w:t>企业近两年财务状况良好</w:t>
      </w:r>
      <w:r>
        <w:rPr>
          <w:rStyle w:val="11"/>
          <w:rFonts w:hint="eastAsia" w:ascii="Calibri" w:hAnsi="Calibri" w:cs="黑体"/>
          <w:sz w:val="24"/>
          <w:szCs w:val="24"/>
          <w:lang w:eastAsia="zh-CN"/>
        </w:rPr>
        <w:t>，</w:t>
      </w:r>
      <w:r>
        <w:rPr>
          <w:rStyle w:val="11"/>
          <w:rFonts w:hint="eastAsia" w:ascii="Calibri" w:hAnsi="Calibri" w:cs="黑体"/>
          <w:b/>
          <w:bCs/>
          <w:sz w:val="24"/>
          <w:szCs w:val="24"/>
          <w:lang w:val="en-US" w:eastAsia="zh-CN"/>
        </w:rPr>
        <w:t>须</w:t>
      </w:r>
      <w:r>
        <w:rPr>
          <w:rStyle w:val="11"/>
          <w:rFonts w:ascii="Calibri" w:hAnsi="Calibri" w:cs="黑体"/>
          <w:b/>
          <w:bCs/>
          <w:sz w:val="24"/>
          <w:szCs w:val="24"/>
        </w:rPr>
        <w:t>提供</w:t>
      </w:r>
      <w:r>
        <w:rPr>
          <w:rStyle w:val="11"/>
          <w:rFonts w:hint="eastAsia" w:ascii="Calibri" w:hAnsi="Calibri" w:cs="黑体"/>
          <w:b/>
          <w:bCs/>
          <w:sz w:val="24"/>
          <w:szCs w:val="24"/>
          <w:lang w:val="en-US" w:eastAsia="zh-CN"/>
        </w:rPr>
        <w:t>2022-2024年任意两年的</w:t>
      </w:r>
      <w:r>
        <w:rPr>
          <w:rStyle w:val="11"/>
          <w:rFonts w:ascii="Calibri" w:hAnsi="Calibri" w:cs="黑体"/>
          <w:b/>
          <w:bCs/>
          <w:sz w:val="24"/>
          <w:szCs w:val="24"/>
        </w:rPr>
        <w:t>审计报告或经审计的财务报表</w:t>
      </w:r>
      <w:r>
        <w:rPr>
          <w:rFonts w:hint="eastAsia" w:ascii="宋体" w:hAnsi="宋体"/>
          <w:sz w:val="24"/>
          <w:lang w:eastAsia="zh-CN"/>
        </w:rPr>
        <w:t>；</w:t>
      </w:r>
      <w:r>
        <w:rPr>
          <w:rFonts w:hint="eastAsia" w:ascii="宋体" w:hAnsi="宋体"/>
          <w:sz w:val="24"/>
        </w:rPr>
        <w:t>未处于财产被接管、冻结、破产状态（提供承诺函）。</w:t>
      </w:r>
    </w:p>
    <w:p w14:paraId="79DFB5BE">
      <w:pPr>
        <w:spacing w:line="360" w:lineRule="auto"/>
        <w:ind w:firstLine="480" w:firstLineChars="200"/>
        <w:rPr>
          <w:rFonts w:hint="eastAsia" w:ascii="宋体" w:hAnsi="宋体" w:eastAsia="宋体"/>
          <w:sz w:val="24"/>
          <w:lang w:eastAsia="zh-CN"/>
        </w:rPr>
      </w:pPr>
      <w:r>
        <w:rPr>
          <w:rFonts w:hint="eastAsia" w:ascii="宋体" w:hAnsi="宋体"/>
          <w:sz w:val="24"/>
        </w:rPr>
        <w:t>3.信誉良好，最近三年无违法违规行为（提供承诺函）</w:t>
      </w:r>
      <w:r>
        <w:rPr>
          <w:rFonts w:hint="eastAsia" w:ascii="宋体" w:hAnsi="宋体"/>
          <w:sz w:val="24"/>
          <w:lang w:eastAsia="zh-CN"/>
        </w:rPr>
        <w:t>。</w:t>
      </w:r>
    </w:p>
    <w:p w14:paraId="53638E4E">
      <w:pPr>
        <w:spacing w:line="360" w:lineRule="auto"/>
        <w:ind w:firstLine="480" w:firstLineChars="200"/>
        <w:rPr>
          <w:rFonts w:hint="eastAsia" w:ascii="宋体" w:hAnsi="宋体" w:cs="仿宋_GB2312"/>
          <w:bCs/>
          <w:sz w:val="24"/>
        </w:rPr>
      </w:pPr>
      <w:r>
        <w:rPr>
          <w:rFonts w:hint="eastAsia" w:ascii="宋体" w:hAnsi="宋体"/>
          <w:sz w:val="24"/>
          <w:lang w:val="en-US" w:eastAsia="zh-CN"/>
        </w:rPr>
        <w:t>4.</w:t>
      </w:r>
      <w:r>
        <w:rPr>
          <w:rFonts w:hint="eastAsia" w:ascii="宋体" w:hAnsi="宋体"/>
          <w:b/>
          <w:bCs/>
          <w:sz w:val="24"/>
        </w:rPr>
        <w:t>未被人民法院列为失信被执行人</w:t>
      </w:r>
      <w:r>
        <w:rPr>
          <w:rFonts w:hint="eastAsia" w:ascii="宋体" w:hAnsi="宋体"/>
          <w:sz w:val="24"/>
          <w:lang w:eastAsia="zh-CN"/>
        </w:rPr>
        <w:t>（</w:t>
      </w:r>
      <w:r>
        <w:rPr>
          <w:rFonts w:hint="eastAsia" w:ascii="宋体" w:hAnsi="宋体"/>
          <w:sz w:val="24"/>
        </w:rPr>
        <w:t>提供</w:t>
      </w:r>
      <w:r>
        <w:rPr>
          <w:rFonts w:hint="eastAsia" w:ascii="宋体" w:hAnsi="宋体" w:cs="宋体-18030"/>
          <w:b/>
          <w:bCs/>
          <w:sz w:val="24"/>
          <w:u w:val="single"/>
        </w:rPr>
        <w:t>“中国执行信息公开网”网站</w:t>
      </w:r>
      <w:r>
        <w:rPr>
          <w:rFonts w:hint="eastAsia" w:ascii="宋体" w:hAnsi="宋体" w:cs="宋体-18030"/>
          <w:b/>
          <w:bCs/>
          <w:sz w:val="24"/>
          <w:u w:val="single"/>
        </w:rPr>
        <w:fldChar w:fldCharType="begin"/>
      </w:r>
      <w:r>
        <w:rPr>
          <w:rFonts w:hint="eastAsia" w:ascii="宋体" w:hAnsi="宋体" w:cs="宋体-18030"/>
          <w:b/>
          <w:bCs/>
          <w:sz w:val="24"/>
          <w:u w:val="single"/>
        </w:rPr>
        <w:instrText xml:space="preserve"> HYPERLINK "http://zxgk.court.gov.cn/" </w:instrText>
      </w:r>
      <w:r>
        <w:rPr>
          <w:rFonts w:hint="eastAsia" w:ascii="宋体" w:hAnsi="宋体" w:cs="宋体-18030"/>
          <w:b/>
          <w:bCs/>
          <w:sz w:val="24"/>
          <w:u w:val="single"/>
        </w:rPr>
        <w:fldChar w:fldCharType="separate"/>
      </w:r>
      <w:r>
        <w:rPr>
          <w:rStyle w:val="10"/>
          <w:rFonts w:hint="eastAsia" w:ascii="宋体" w:hAnsi="宋体" w:cs="宋体-18030"/>
          <w:b/>
          <w:bCs/>
          <w:sz w:val="24"/>
        </w:rPr>
        <w:t>zxgk.court.gov.cn/</w:t>
      </w:r>
      <w:r>
        <w:rPr>
          <w:rFonts w:hint="eastAsia" w:ascii="宋体" w:hAnsi="宋体" w:cs="宋体-18030"/>
          <w:b/>
          <w:bCs/>
          <w:sz w:val="24"/>
          <w:u w:val="single"/>
        </w:rPr>
        <w:fldChar w:fldCharType="end"/>
      </w:r>
      <w:r>
        <w:rPr>
          <w:rFonts w:hint="eastAsia" w:ascii="宋体" w:hAnsi="宋体" w:cs="宋体-18030"/>
          <w:sz w:val="24"/>
        </w:rPr>
        <w:t>最新查询</w:t>
      </w:r>
      <w:r>
        <w:rPr>
          <w:rFonts w:hint="eastAsia" w:ascii="宋体" w:hAnsi="宋体" w:cs="宋体-18030"/>
          <w:sz w:val="24"/>
          <w:lang w:val="en-US" w:eastAsia="zh-CN"/>
        </w:rPr>
        <w:t>截图</w:t>
      </w:r>
      <w:r>
        <w:rPr>
          <w:rFonts w:hint="eastAsia" w:ascii="宋体" w:hAnsi="宋体" w:cs="宋体-18030"/>
          <w:sz w:val="24"/>
        </w:rPr>
        <w:t>为准）</w:t>
      </w:r>
      <w:r>
        <w:rPr>
          <w:rFonts w:hint="eastAsia" w:ascii="宋体" w:hAnsi="宋体" w:cs="仿宋_GB2312"/>
          <w:bCs/>
          <w:sz w:val="24"/>
        </w:rPr>
        <w:t>。</w:t>
      </w:r>
      <w:r>
        <w:rPr>
          <w:rFonts w:hint="eastAsia" w:ascii="宋体" w:hAnsi="宋体"/>
          <w:b/>
          <w:bCs/>
          <w:sz w:val="24"/>
        </w:rPr>
        <w:t>近三年</w:t>
      </w:r>
      <w:r>
        <w:rPr>
          <w:rFonts w:hint="eastAsia" w:ascii="宋体" w:hAnsi="宋体"/>
          <w:b/>
          <w:bCs/>
          <w:sz w:val="24"/>
          <w:lang w:eastAsia="zh-Hans"/>
        </w:rPr>
        <w:t>未受到过</w:t>
      </w:r>
      <w:r>
        <w:rPr>
          <w:rFonts w:hint="eastAsia" w:ascii="宋体" w:hAnsi="宋体"/>
          <w:b/>
          <w:bCs/>
          <w:sz w:val="24"/>
        </w:rPr>
        <w:t>行政处罚</w:t>
      </w:r>
      <w:r>
        <w:rPr>
          <w:rFonts w:hint="eastAsia" w:ascii="宋体" w:hAnsi="宋体"/>
          <w:sz w:val="24"/>
          <w:lang w:eastAsia="zh-CN"/>
        </w:rPr>
        <w:t>（</w:t>
      </w:r>
      <w:r>
        <w:rPr>
          <w:rFonts w:hint="eastAsia" w:ascii="宋体" w:hAnsi="宋体"/>
          <w:sz w:val="24"/>
          <w:lang w:val="en-US" w:eastAsia="zh-CN"/>
        </w:rPr>
        <w:t>提供</w:t>
      </w:r>
      <w:r>
        <w:rPr>
          <w:rFonts w:hint="eastAsia" w:ascii="宋体" w:hAnsi="宋体" w:cs="仿宋_GB2312"/>
          <w:b/>
          <w:bCs w:val="0"/>
          <w:sz w:val="24"/>
          <w:u w:val="single"/>
        </w:rPr>
        <w:t>“国家企业信用信息公示系统”</w:t>
      </w:r>
      <w:r>
        <w:rPr>
          <w:rFonts w:hint="eastAsia" w:ascii="宋体" w:hAnsi="宋体" w:cs="宋体"/>
          <w:b/>
          <w:bCs w:val="0"/>
          <w:sz w:val="24"/>
          <w:u w:val="single"/>
        </w:rPr>
        <w:fldChar w:fldCharType="begin"/>
      </w:r>
      <w:r>
        <w:rPr>
          <w:rFonts w:hint="eastAsia" w:ascii="宋体" w:hAnsi="宋体" w:cs="宋体"/>
          <w:b/>
          <w:bCs w:val="0"/>
          <w:sz w:val="24"/>
          <w:u w:val="single"/>
        </w:rPr>
        <w:instrText xml:space="preserve"> HYPERLINK "https://www.gsxt.gov.cn/index.html" </w:instrText>
      </w:r>
      <w:r>
        <w:rPr>
          <w:rFonts w:hint="eastAsia" w:ascii="宋体" w:hAnsi="宋体" w:cs="宋体"/>
          <w:b/>
          <w:bCs w:val="0"/>
          <w:sz w:val="24"/>
          <w:u w:val="single"/>
        </w:rPr>
        <w:fldChar w:fldCharType="separate"/>
      </w:r>
      <w:r>
        <w:rPr>
          <w:rStyle w:val="10"/>
          <w:rFonts w:hint="eastAsia" w:ascii="宋体" w:hAnsi="宋体" w:cs="宋体"/>
          <w:b/>
          <w:bCs w:val="0"/>
          <w:sz w:val="24"/>
        </w:rPr>
        <w:t>https://www.gsxt.gov.cn/index.html</w:t>
      </w:r>
      <w:r>
        <w:rPr>
          <w:rFonts w:hint="eastAsia" w:ascii="宋体" w:hAnsi="宋体" w:cs="宋体"/>
          <w:b/>
          <w:bCs w:val="0"/>
          <w:sz w:val="24"/>
          <w:u w:val="single"/>
        </w:rPr>
        <w:fldChar w:fldCharType="end"/>
      </w:r>
      <w:r>
        <w:rPr>
          <w:rFonts w:hint="eastAsia" w:ascii="宋体" w:hAnsi="宋体" w:cs="仿宋_GB2312"/>
          <w:bCs/>
          <w:sz w:val="24"/>
        </w:rPr>
        <w:t>下载的最新企业信用信息公示</w:t>
      </w:r>
      <w:r>
        <w:rPr>
          <w:rFonts w:hint="eastAsia" w:ascii="宋体" w:hAnsi="宋体" w:cs="仿宋_GB2312"/>
          <w:b/>
          <w:bCs w:val="0"/>
          <w:sz w:val="24"/>
        </w:rPr>
        <w:t>报告</w:t>
      </w:r>
      <w:r>
        <w:rPr>
          <w:rFonts w:hint="eastAsia" w:ascii="宋体" w:hAnsi="宋体" w:cs="仿宋_GB2312"/>
          <w:b/>
          <w:bCs w:val="0"/>
          <w:sz w:val="24"/>
          <w:lang w:val="en-US" w:eastAsia="zh-CN"/>
        </w:rPr>
        <w:t>或查询截图</w:t>
      </w:r>
      <w:r>
        <w:rPr>
          <w:rFonts w:hint="eastAsia" w:ascii="宋体" w:hAnsi="宋体"/>
          <w:sz w:val="24"/>
          <w:lang w:eastAsia="zh-CN"/>
        </w:rPr>
        <w:t>）。</w:t>
      </w:r>
    </w:p>
    <w:p w14:paraId="0F390F0D">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.202</w:t>
      </w:r>
      <w:r>
        <w:rPr>
          <w:rFonts w:hint="eastAsia" w:ascii="宋体" w:hAnsi="宋体"/>
          <w:sz w:val="24"/>
          <w:lang w:val="en-US" w:eastAsia="zh-CN"/>
        </w:rPr>
        <w:t>1</w:t>
      </w:r>
      <w:r>
        <w:rPr>
          <w:rFonts w:hint="eastAsia" w:ascii="宋体" w:hAnsi="宋体"/>
          <w:sz w:val="24"/>
        </w:rPr>
        <w:t>年起至今，具有2项以上（含2项）大型活动（类似体育赛事，或相等规模的演艺、展览）大巴车供应服务经验，单项合同金额不低于5万元（提供加盖鲜章的合同复印件，若合同无总金额的，可提供转账凭证等相关证明材料）。</w:t>
      </w:r>
    </w:p>
    <w:p w14:paraId="00A41738">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.有不低于3人的专门团队负责本项目的跟进。</w:t>
      </w:r>
    </w:p>
    <w:p w14:paraId="4D49B650">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.本次比选不接受联合体投标。</w:t>
      </w:r>
    </w:p>
    <w:p w14:paraId="37C3EA45">
      <w:pPr>
        <w:spacing w:line="360" w:lineRule="auto"/>
        <w:ind w:firstLine="482" w:firstLineChars="200"/>
        <w:outlineLvl w:val="1"/>
        <w:rPr>
          <w:rFonts w:ascii="宋体" w:hAnsi="宋体"/>
          <w:b/>
          <w:sz w:val="24"/>
        </w:rPr>
      </w:pPr>
      <w:bookmarkStart w:id="7" w:name="_Toc4338"/>
      <w:r>
        <w:rPr>
          <w:rFonts w:hint="eastAsia" w:ascii="宋体" w:hAnsi="宋体"/>
          <w:b/>
          <w:sz w:val="24"/>
        </w:rPr>
        <w:t>四、比选文件的获取</w:t>
      </w:r>
      <w:bookmarkEnd w:id="7"/>
    </w:p>
    <w:p w14:paraId="050C28C8">
      <w:pPr>
        <w:spacing w:line="360" w:lineRule="auto"/>
        <w:ind w:firstLine="480" w:firstLineChars="200"/>
        <w:rPr>
          <w:rFonts w:hint="eastAsia" w:ascii="宋体" w:hAnsi="宋体" w:cs="宋体"/>
          <w:sz w:val="24"/>
        </w:rPr>
      </w:pPr>
      <w:r>
        <w:rPr>
          <w:rFonts w:hint="eastAsia" w:ascii="宋体" w:hAnsi="宋体" w:cs="宋体"/>
          <w:sz w:val="24"/>
          <w:lang w:eastAsia="zh-CN"/>
        </w:rPr>
        <w:t>响应人</w:t>
      </w:r>
      <w:r>
        <w:rPr>
          <w:rFonts w:hint="eastAsia" w:ascii="宋体" w:hAnsi="宋体" w:cs="宋体"/>
          <w:sz w:val="24"/>
        </w:rPr>
        <w:t>请于</w:t>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15</w:t>
      </w:r>
      <w:r>
        <w:rPr>
          <w:rFonts w:hint="eastAsia" w:ascii="宋体" w:hAnsi="宋体" w:cs="宋体"/>
          <w:b/>
          <w:bCs/>
          <w:sz w:val="24"/>
          <w:u w:val="single"/>
        </w:rPr>
        <w:t>日至202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23</w:t>
      </w:r>
      <w:r>
        <w:rPr>
          <w:rFonts w:hint="eastAsia" w:ascii="宋体" w:hAnsi="宋体" w:cs="宋体"/>
          <w:b/>
          <w:bCs/>
          <w:sz w:val="24"/>
          <w:u w:val="single"/>
        </w:rPr>
        <w:t>日17:00时</w:t>
      </w:r>
      <w:r>
        <w:rPr>
          <w:rFonts w:hint="eastAsia" w:ascii="宋体" w:hAnsi="宋体" w:cs="宋体"/>
          <w:sz w:val="24"/>
        </w:rPr>
        <w:t>（北京时间，下同），通过天府阳光采购服务平台（http://scig.tfygcgfw.com/）报名获取比选文件。</w:t>
      </w:r>
    </w:p>
    <w:p w14:paraId="183C07CE">
      <w:pPr>
        <w:spacing w:line="360" w:lineRule="auto"/>
        <w:ind w:firstLine="482" w:firstLineChars="200"/>
        <w:outlineLvl w:val="1"/>
        <w:rPr>
          <w:rFonts w:ascii="宋体" w:hAnsi="宋体"/>
          <w:b/>
          <w:sz w:val="24"/>
        </w:rPr>
      </w:pPr>
      <w:bookmarkStart w:id="8" w:name="_Toc27683"/>
      <w:r>
        <w:rPr>
          <w:rFonts w:hint="eastAsia" w:ascii="宋体" w:hAnsi="宋体"/>
          <w:b/>
          <w:sz w:val="24"/>
        </w:rPr>
        <w:t>五、</w:t>
      </w:r>
      <w:r>
        <w:rPr>
          <w:rFonts w:hint="eastAsia" w:ascii="宋体" w:hAnsi="宋体"/>
          <w:b/>
          <w:sz w:val="24"/>
          <w:lang w:eastAsia="zh-CN"/>
        </w:rPr>
        <w:t>响应文件</w:t>
      </w:r>
      <w:r>
        <w:rPr>
          <w:rFonts w:hint="eastAsia" w:ascii="宋体" w:hAnsi="宋体"/>
          <w:b/>
          <w:sz w:val="24"/>
        </w:rPr>
        <w:t>的递交</w:t>
      </w:r>
      <w:bookmarkEnd w:id="8"/>
    </w:p>
    <w:p w14:paraId="1F2392F9">
      <w:pPr>
        <w:spacing w:line="360" w:lineRule="auto"/>
        <w:ind w:firstLine="480" w:firstLineChars="200"/>
        <w:rPr>
          <w:rFonts w:ascii="宋体" w:hAnsi="宋体"/>
          <w:color w:val="000000"/>
          <w:sz w:val="24"/>
        </w:rPr>
      </w:pPr>
      <w:r>
        <w:rPr>
          <w:rFonts w:hint="eastAsia" w:ascii="宋体" w:hAnsi="宋体"/>
          <w:sz w:val="24"/>
        </w:rPr>
        <w:t>1.</w:t>
      </w:r>
      <w:r>
        <w:rPr>
          <w:rFonts w:hint="eastAsia" w:ascii="宋体" w:hAnsi="宋体"/>
          <w:color w:val="000000"/>
          <w:sz w:val="24"/>
          <w:lang w:eastAsia="zh-CN"/>
        </w:rPr>
        <w:t>响应文件</w:t>
      </w:r>
      <w:r>
        <w:rPr>
          <w:rFonts w:hint="eastAsia" w:ascii="宋体" w:hAnsi="宋体"/>
          <w:color w:val="000000"/>
          <w:sz w:val="24"/>
        </w:rPr>
        <w:t>递交时间为</w:t>
      </w:r>
      <w:r>
        <w:rPr>
          <w:rFonts w:hint="eastAsia" w:ascii="宋体" w:hAnsi="宋体"/>
          <w:b/>
          <w:bCs/>
          <w:color w:val="000000"/>
          <w:sz w:val="24"/>
          <w:u w:val="single"/>
        </w:rPr>
        <w:t>202</w:t>
      </w:r>
      <w:r>
        <w:rPr>
          <w:rFonts w:hint="eastAsia" w:ascii="宋体" w:hAnsi="宋体"/>
          <w:b/>
          <w:bCs/>
          <w:color w:val="000000"/>
          <w:sz w:val="24"/>
          <w:u w:val="single"/>
          <w:lang w:val="en-US" w:eastAsia="zh-CN"/>
        </w:rPr>
        <w:t>5</w:t>
      </w:r>
      <w:r>
        <w:rPr>
          <w:rFonts w:hint="eastAsia" w:ascii="宋体" w:hAnsi="宋体"/>
          <w:b/>
          <w:bCs/>
          <w:color w:val="000000"/>
          <w:sz w:val="24"/>
          <w:u w:val="single"/>
        </w:rPr>
        <w:t>年</w:t>
      </w:r>
      <w:r>
        <w:rPr>
          <w:rFonts w:hint="eastAsia" w:ascii="宋体" w:hAnsi="宋体"/>
          <w:b/>
          <w:bCs/>
          <w:color w:val="000000"/>
          <w:sz w:val="24"/>
          <w:u w:val="single"/>
          <w:lang w:val="en-US" w:eastAsia="zh-CN"/>
        </w:rPr>
        <w:t>5</w:t>
      </w:r>
      <w:r>
        <w:rPr>
          <w:rFonts w:hint="eastAsia" w:ascii="宋体" w:hAnsi="宋体"/>
          <w:b/>
          <w:bCs/>
          <w:color w:val="000000"/>
          <w:sz w:val="24"/>
          <w:u w:val="single"/>
        </w:rPr>
        <w:t>月</w:t>
      </w:r>
      <w:r>
        <w:rPr>
          <w:rFonts w:hint="eastAsia" w:ascii="宋体" w:hAnsi="宋体"/>
          <w:b/>
          <w:bCs/>
          <w:color w:val="000000"/>
          <w:sz w:val="24"/>
          <w:u w:val="single"/>
          <w:lang w:val="en-US" w:eastAsia="zh-CN"/>
        </w:rPr>
        <w:t>26</w:t>
      </w:r>
      <w:r>
        <w:rPr>
          <w:rFonts w:hint="eastAsia" w:ascii="宋体" w:hAnsi="宋体"/>
          <w:b/>
          <w:bCs/>
          <w:color w:val="000000"/>
          <w:sz w:val="24"/>
          <w:u w:val="single"/>
        </w:rPr>
        <w:t>日</w:t>
      </w:r>
      <w:r>
        <w:rPr>
          <w:rFonts w:hint="eastAsia" w:ascii="宋体" w:hAnsi="宋体"/>
          <w:b/>
          <w:bCs/>
          <w:color w:val="000000"/>
          <w:sz w:val="24"/>
          <w:u w:val="single"/>
          <w:lang w:val="en-US" w:eastAsia="zh-CN"/>
        </w:rPr>
        <w:t>15</w:t>
      </w:r>
      <w:r>
        <w:rPr>
          <w:rFonts w:hint="eastAsia" w:ascii="宋体" w:hAnsi="宋体"/>
          <w:b/>
          <w:bCs/>
          <w:color w:val="000000"/>
          <w:sz w:val="24"/>
          <w:u w:val="single"/>
        </w:rPr>
        <w:t>时</w:t>
      </w:r>
      <w:r>
        <w:rPr>
          <w:rFonts w:hint="eastAsia" w:ascii="宋体" w:hAnsi="宋体"/>
          <w:b/>
          <w:bCs/>
          <w:color w:val="000000"/>
          <w:sz w:val="24"/>
          <w:u w:val="single"/>
          <w:lang w:val="en-US" w:eastAsia="zh-CN"/>
        </w:rPr>
        <w:t>00</w:t>
      </w:r>
      <w:r>
        <w:rPr>
          <w:rFonts w:hint="eastAsia" w:ascii="宋体" w:hAnsi="宋体"/>
          <w:b/>
          <w:bCs/>
          <w:color w:val="000000"/>
          <w:sz w:val="24"/>
          <w:u w:val="single"/>
        </w:rPr>
        <w:t>分</w:t>
      </w:r>
      <w:r>
        <w:rPr>
          <w:rFonts w:hint="eastAsia" w:ascii="宋体" w:hAnsi="宋体"/>
          <w:color w:val="000000"/>
          <w:sz w:val="24"/>
        </w:rPr>
        <w:t>，地点为</w:t>
      </w:r>
      <w:r>
        <w:rPr>
          <w:rFonts w:hint="eastAsia" w:ascii="宋体" w:hAnsi="宋体"/>
          <w:b/>
          <w:bCs/>
          <w:color w:val="000000"/>
          <w:sz w:val="24"/>
          <w:u w:val="single"/>
        </w:rPr>
        <w:t>成都市双流区金河路66号四川国际网球中心</w:t>
      </w:r>
      <w:r>
        <w:rPr>
          <w:rFonts w:hint="eastAsia" w:ascii="宋体" w:hAnsi="宋体"/>
          <w:b/>
          <w:bCs/>
          <w:color w:val="000000"/>
          <w:sz w:val="24"/>
          <w:u w:val="single"/>
          <w:lang w:val="en-US" w:eastAsia="zh-CN"/>
        </w:rPr>
        <w:t>大</w:t>
      </w:r>
      <w:r>
        <w:rPr>
          <w:rFonts w:hint="eastAsia" w:ascii="宋体" w:hAnsi="宋体"/>
          <w:b/>
          <w:bCs/>
          <w:color w:val="000000"/>
          <w:sz w:val="24"/>
          <w:u w:val="single"/>
        </w:rPr>
        <w:t>会议室</w:t>
      </w:r>
      <w:r>
        <w:rPr>
          <w:rFonts w:hint="eastAsia" w:ascii="宋体" w:hAnsi="宋体"/>
          <w:b/>
          <w:bCs/>
          <w:color w:val="000000"/>
          <w:sz w:val="24"/>
          <w:u w:val="single"/>
          <w:lang w:eastAsia="zh-CN"/>
        </w:rPr>
        <w:t>（</w:t>
      </w:r>
      <w:r>
        <w:rPr>
          <w:rFonts w:hint="eastAsia" w:ascii="宋体" w:hAnsi="宋体"/>
          <w:b/>
          <w:bCs/>
          <w:color w:val="000000"/>
          <w:sz w:val="24"/>
          <w:u w:val="single"/>
          <w:lang w:val="en-US" w:eastAsia="zh-CN"/>
        </w:rPr>
        <w:t>ZN118</w:t>
      </w:r>
      <w:r>
        <w:rPr>
          <w:rFonts w:hint="eastAsia" w:ascii="宋体" w:hAnsi="宋体"/>
          <w:b/>
          <w:bCs/>
          <w:color w:val="000000"/>
          <w:sz w:val="24"/>
          <w:u w:val="single"/>
          <w:lang w:eastAsia="zh-CN"/>
        </w:rPr>
        <w:t>）</w:t>
      </w:r>
      <w:r>
        <w:rPr>
          <w:rFonts w:hint="eastAsia" w:ascii="宋体" w:hAnsi="宋体"/>
          <w:color w:val="000000"/>
          <w:sz w:val="24"/>
          <w:u w:val="single"/>
        </w:rPr>
        <w:t>。</w:t>
      </w:r>
    </w:p>
    <w:p w14:paraId="34A1F151">
      <w:pPr>
        <w:spacing w:line="360" w:lineRule="auto"/>
        <w:ind w:firstLine="480" w:firstLineChars="200"/>
        <w:rPr>
          <w:rFonts w:ascii="宋体" w:hAnsi="宋体"/>
          <w:sz w:val="24"/>
        </w:rPr>
      </w:pPr>
      <w:r>
        <w:rPr>
          <w:rFonts w:hint="eastAsia" w:ascii="宋体" w:hAnsi="宋体"/>
          <w:sz w:val="24"/>
        </w:rPr>
        <w:t>2.逾期送达的或者未送达指定地点的</w:t>
      </w:r>
      <w:r>
        <w:rPr>
          <w:rFonts w:hint="eastAsia" w:ascii="宋体" w:hAnsi="宋体"/>
          <w:sz w:val="24"/>
          <w:lang w:eastAsia="zh-CN"/>
        </w:rPr>
        <w:t>响应文件</w:t>
      </w:r>
      <w:r>
        <w:rPr>
          <w:rFonts w:hint="eastAsia" w:ascii="宋体" w:hAnsi="宋体"/>
          <w:sz w:val="24"/>
        </w:rPr>
        <w:t>，比选人不予受理。</w:t>
      </w:r>
    </w:p>
    <w:p w14:paraId="22C5EAD2">
      <w:pPr>
        <w:spacing w:line="360" w:lineRule="auto"/>
        <w:ind w:firstLine="482" w:firstLineChars="200"/>
        <w:outlineLvl w:val="1"/>
        <w:rPr>
          <w:rFonts w:ascii="宋体" w:hAnsi="宋体"/>
          <w:b/>
          <w:sz w:val="24"/>
        </w:rPr>
      </w:pPr>
      <w:bookmarkStart w:id="9" w:name="_Toc13231"/>
      <w:r>
        <w:rPr>
          <w:rFonts w:hint="eastAsia" w:ascii="宋体" w:hAnsi="宋体"/>
          <w:b/>
          <w:sz w:val="24"/>
        </w:rPr>
        <w:t>六、比选公告发布</w:t>
      </w:r>
      <w:bookmarkEnd w:id="9"/>
    </w:p>
    <w:p w14:paraId="6C8B21E2">
      <w:pPr>
        <w:spacing w:line="360" w:lineRule="auto"/>
        <w:ind w:firstLine="480" w:firstLineChars="200"/>
        <w:rPr>
          <w:rFonts w:ascii="宋体" w:hAnsi="宋体"/>
          <w:szCs w:val="21"/>
        </w:rPr>
      </w:pPr>
      <w:r>
        <w:rPr>
          <w:rFonts w:hint="eastAsia" w:ascii="宋体" w:hAnsi="宋体" w:cs="宋体"/>
          <w:sz w:val="24"/>
        </w:rPr>
        <w:t>本比选公告在四川省投资集团有限责任公司(http://www.invest.com.cn/)、四川川投国际网球中心开发有限责任公司官网（</w:t>
      </w:r>
      <w:r>
        <w:rPr>
          <w:rFonts w:hint="eastAsia" w:ascii="宋体" w:hAnsi="宋体" w:cs="宋体"/>
        </w:rPr>
        <w:fldChar w:fldCharType="begin"/>
      </w:r>
      <w:r>
        <w:rPr>
          <w:rFonts w:hint="eastAsia" w:ascii="宋体" w:hAnsi="宋体" w:cs="宋体"/>
        </w:rPr>
        <w:instrText xml:space="preserve"> HYPERLINK "http://www.sciitc.com/" </w:instrText>
      </w:r>
      <w:r>
        <w:rPr>
          <w:rFonts w:hint="eastAsia" w:ascii="宋体" w:hAnsi="宋体" w:cs="宋体"/>
        </w:rPr>
        <w:fldChar w:fldCharType="separate"/>
      </w:r>
      <w:r>
        <w:rPr>
          <w:rFonts w:hint="eastAsia" w:ascii="宋体" w:hAnsi="宋体" w:cs="宋体"/>
          <w:sz w:val="24"/>
        </w:rPr>
        <w:t>http://www.sciitc.com/</w:t>
      </w:r>
      <w:r>
        <w:rPr>
          <w:rFonts w:hint="eastAsia" w:ascii="宋体" w:hAnsi="宋体" w:cs="宋体"/>
          <w:sz w:val="24"/>
        </w:rPr>
        <w:fldChar w:fldCharType="end"/>
      </w:r>
      <w:r>
        <w:rPr>
          <w:rFonts w:hint="eastAsia" w:ascii="宋体" w:hAnsi="宋体" w:cs="宋体"/>
          <w:sz w:val="24"/>
        </w:rPr>
        <w:t>）及天府阳光采购服务平台（http://scig.tfygcgfw.com/）发布。</w:t>
      </w:r>
    </w:p>
    <w:p w14:paraId="05F65792">
      <w:pPr>
        <w:spacing w:line="360" w:lineRule="auto"/>
        <w:ind w:firstLine="482" w:firstLineChars="200"/>
        <w:outlineLvl w:val="1"/>
        <w:rPr>
          <w:rFonts w:ascii="宋体" w:hAnsi="宋体"/>
          <w:b/>
          <w:color w:val="000000"/>
          <w:sz w:val="24"/>
        </w:rPr>
      </w:pPr>
      <w:bookmarkStart w:id="10" w:name="_Toc25569"/>
      <w:r>
        <w:rPr>
          <w:rFonts w:hint="eastAsia" w:ascii="宋体" w:hAnsi="宋体"/>
          <w:b/>
          <w:color w:val="000000"/>
          <w:sz w:val="24"/>
        </w:rPr>
        <w:t>七、联系方式</w:t>
      </w:r>
      <w:bookmarkEnd w:id="10"/>
    </w:p>
    <w:p w14:paraId="4163440A">
      <w:pPr>
        <w:spacing w:line="360" w:lineRule="auto"/>
        <w:ind w:firstLine="480" w:firstLineChars="200"/>
        <w:rPr>
          <w:rFonts w:hint="eastAsia" w:ascii="宋体" w:hAnsi="宋体" w:cs="宋体"/>
          <w:sz w:val="24"/>
        </w:rPr>
      </w:pPr>
      <w:r>
        <w:rPr>
          <w:rFonts w:hint="eastAsia" w:ascii="宋体" w:hAnsi="宋体" w:cs="宋体"/>
          <w:sz w:val="24"/>
        </w:rPr>
        <w:t>比选人:</w:t>
      </w:r>
      <w:r>
        <w:rPr>
          <w:rFonts w:hint="eastAsia" w:ascii="宋体" w:hAnsi="宋体" w:cs="宋体"/>
          <w:sz w:val="24"/>
          <w:u w:val="single"/>
        </w:rPr>
        <w:t>四川川投国际网球中心开发有限责任公司</w:t>
      </w:r>
    </w:p>
    <w:p w14:paraId="64A69F16">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color w:val="000000"/>
          <w:sz w:val="24"/>
          <w:u w:val="single"/>
        </w:rPr>
        <w:t xml:space="preserve"> 成都市双流区金河路66号</w:t>
      </w:r>
    </w:p>
    <w:p w14:paraId="6A7A2075">
      <w:pPr>
        <w:spacing w:line="360" w:lineRule="auto"/>
        <w:ind w:firstLine="480" w:firstLineChars="200"/>
        <w:rPr>
          <w:rFonts w:hint="eastAsia" w:ascii="宋体" w:hAnsi="宋体" w:cs="宋体"/>
          <w:sz w:val="24"/>
        </w:rPr>
      </w:pPr>
      <w:r>
        <w:rPr>
          <w:rFonts w:hint="eastAsia" w:ascii="宋体" w:hAnsi="宋体" w:cs="宋体"/>
          <w:sz w:val="24"/>
        </w:rPr>
        <w:t>联系人:何女士</w:t>
      </w:r>
    </w:p>
    <w:p w14:paraId="44527CA7">
      <w:pPr>
        <w:spacing w:line="360" w:lineRule="auto"/>
        <w:ind w:firstLine="480" w:firstLineChars="200"/>
        <w:rPr>
          <w:rFonts w:hint="eastAsia" w:ascii="宋体" w:hAnsi="宋体" w:eastAsia="宋体" w:cs="宋体"/>
          <w:sz w:val="24"/>
        </w:rPr>
      </w:pPr>
      <w:r>
        <w:rPr>
          <w:rFonts w:hint="eastAsia" w:ascii="宋体" w:hAnsi="宋体" w:eastAsia="宋体" w:cs="宋体"/>
          <w:sz w:val="24"/>
        </w:rPr>
        <w:t>电话:028-85893078</w:t>
      </w:r>
    </w:p>
    <w:p w14:paraId="794A997E">
      <w:pPr>
        <w:pStyle w:val="5"/>
        <w:rPr>
          <w:rFonts w:hint="eastAsia" w:ascii="宋体" w:hAnsi="宋体" w:cs="宋体"/>
          <w:sz w:val="24"/>
          <w:lang w:eastAsia="zh-CN"/>
        </w:rPr>
      </w:pPr>
      <w:bookmarkStart w:id="11" w:name="_GoBack"/>
      <w:bookmarkEnd w:id="11"/>
    </w:p>
    <w:p w14:paraId="12D2B85A">
      <w:pPr>
        <w:pStyle w:val="5"/>
        <w:rPr>
          <w:rFonts w:hint="eastAsia" w:ascii="宋体" w:hAnsi="宋体" w:cs="宋体"/>
          <w:sz w:val="24"/>
          <w:lang w:eastAsia="zh-CN"/>
        </w:rPr>
      </w:pPr>
    </w:p>
    <w:p w14:paraId="52BB02AC">
      <w:pPr>
        <w:rPr>
          <w:rFonts w:hint="eastAsia" w:ascii="宋体" w:hAnsi="宋体" w:eastAsia="宋体" w:cs="宋体"/>
          <w:lang w:eastAsia="zh-CN"/>
        </w:rPr>
      </w:pPr>
    </w:p>
    <w:p w14:paraId="6D30950B">
      <w:pPr>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四川川投国际网球中心开发有限责任公司</w:t>
      </w:r>
    </w:p>
    <w:p w14:paraId="066627D4">
      <w:pPr>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 xml:space="preserve">日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p>
    <w:p w14:paraId="4B3A4AA7">
      <w:pPr>
        <w:pStyle w:val="4"/>
        <w:jc w:val="right"/>
        <w:rPr>
          <w:rFonts w:hint="eastAsia" w:ascii="宋体" w:hAnsi="宋体" w:eastAsia="宋体" w:cs="宋体"/>
          <w:lang w:eastAsia="zh-CN"/>
        </w:rPr>
      </w:pPr>
    </w:p>
    <w:p w14:paraId="77D7B942">
      <w:pPr>
        <w:rPr>
          <w:rFonts w:hint="eastAsia" w:ascii="宋体" w:hAnsi="宋体" w:eastAsia="宋体" w:cs="宋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体-18030">
    <w:altName w:val="微软雅黑"/>
    <w:panose1 w:val="020B0604020202020204"/>
    <w:charset w:val="00"/>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16F570AA"/>
    <w:rsid w:val="25F8628C"/>
    <w:rsid w:val="2CE46EA1"/>
    <w:rsid w:val="2D3F457D"/>
    <w:rsid w:val="364C3692"/>
    <w:rsid w:val="37154C0A"/>
    <w:rsid w:val="39A30C17"/>
    <w:rsid w:val="3F734A18"/>
    <w:rsid w:val="45434FF7"/>
    <w:rsid w:val="47B56720"/>
    <w:rsid w:val="4FCE076D"/>
    <w:rsid w:val="5635755B"/>
    <w:rsid w:val="563B6FEB"/>
    <w:rsid w:val="65BA4F18"/>
    <w:rsid w:val="70197967"/>
    <w:rsid w:val="769B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jc w:val="center"/>
    </w:pPr>
  </w:style>
  <w:style w:type="paragraph" w:styleId="4">
    <w:name w:val="Body Text"/>
    <w:basedOn w:val="1"/>
    <w:next w:val="5"/>
    <w:qFormat/>
    <w:uiPriority w:val="0"/>
    <w:rPr>
      <w:rFonts w:eastAsia="仿宋_GB2312"/>
      <w:sz w:val="32"/>
    </w:rPr>
  </w:style>
  <w:style w:type="paragraph" w:styleId="5">
    <w:name w:val="Body Text First Indent"/>
    <w:basedOn w:val="4"/>
    <w:unhideWhenUsed/>
    <w:qFormat/>
    <w:uiPriority w:val="0"/>
    <w:pPr>
      <w:spacing w:line="440" w:lineRule="exact"/>
      <w:ind w:firstLine="420" w:firstLineChars="200"/>
    </w:pPr>
    <w:rPr>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66"/>
      <w:u w:val="none"/>
    </w:rPr>
  </w:style>
  <w:style w:type="character" w:styleId="10">
    <w:name w:val="Hyperlink"/>
    <w:qFormat/>
    <w:uiPriority w:val="0"/>
    <w:rPr>
      <w:color w:val="666666"/>
      <w:u w:val="none"/>
    </w:rPr>
  </w:style>
  <w:style w:type="character" w:styleId="11">
    <w:name w:val="annotation reference"/>
    <w:qFormat/>
    <w:uiPriority w:val="0"/>
    <w:rPr>
      <w:sz w:val="21"/>
      <w:szCs w:val="21"/>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900</Words>
  <Characters>1124</Characters>
  <Lines>0</Lines>
  <Paragraphs>0</Paragraphs>
  <TotalTime>0</TotalTime>
  <ScaleCrop>false</ScaleCrop>
  <LinksUpToDate>false</LinksUpToDate>
  <CharactersWithSpaces>1137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2025-05-15T02:23:01Z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