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38A77">
      <w:pPr>
        <w:pageBreakBefore w:val="0"/>
        <w:kinsoku/>
        <w:wordWrap/>
        <w:overflowPunct/>
        <w:topLinePunct w:val="0"/>
        <w:autoSpaceDE w:val="0"/>
        <w:autoSpaceDN w:val="0"/>
        <w:bidi w:val="0"/>
        <w:adjustRightInd/>
        <w:snapToGrid/>
        <w:spacing w:line="360" w:lineRule="auto"/>
        <w:jc w:val="center"/>
        <w:textAlignment w:val="bottom"/>
        <w:rPr>
          <w:rFonts w:hint="eastAsia" w:ascii="宋体" w:hAnsi="宋体" w:eastAsia="宋体" w:cs="宋体"/>
          <w:b/>
          <w:bCs/>
          <w:sz w:val="44"/>
          <w:szCs w:val="44"/>
        </w:rPr>
      </w:pPr>
      <w:r>
        <w:rPr>
          <w:rFonts w:hint="eastAsia" w:ascii="宋体" w:hAnsi="宋体" w:eastAsia="宋体" w:cs="宋体"/>
          <w:b/>
          <w:bCs/>
          <w:sz w:val="44"/>
          <w:szCs w:val="44"/>
          <w:lang w:eastAsia="zh-CN"/>
        </w:rPr>
        <w:t>2025</w:t>
      </w:r>
      <w:r>
        <w:rPr>
          <w:rFonts w:hint="eastAsia" w:ascii="宋体" w:hAnsi="宋体" w:eastAsia="宋体" w:cs="宋体"/>
          <w:b/>
          <w:bCs/>
          <w:sz w:val="44"/>
          <w:szCs w:val="44"/>
        </w:rPr>
        <w:t>国际网联世界巡回赛青少年年终总决赛网球赛事技术服务项目比选公告</w:t>
      </w:r>
    </w:p>
    <w:p w14:paraId="3741B006">
      <w:pPr>
        <w:pStyle w:val="6"/>
        <w:pageBreakBefore w:val="0"/>
        <w:kinsoku/>
        <w:wordWrap/>
        <w:overflowPunct/>
        <w:topLinePunct w:val="0"/>
        <w:bidi w:val="0"/>
        <w:adjustRightInd/>
        <w:snapToGrid/>
        <w:rPr>
          <w:rFonts w:hint="eastAsia" w:ascii="宋体" w:hAnsi="宋体" w:eastAsia="宋体" w:cs="宋体"/>
          <w:b/>
          <w:bCs/>
          <w:sz w:val="44"/>
          <w:szCs w:val="44"/>
        </w:rPr>
      </w:pPr>
    </w:p>
    <w:p w14:paraId="13D167F0">
      <w:pPr>
        <w:spacing w:line="360" w:lineRule="auto"/>
        <w:ind w:firstLine="482" w:firstLineChars="200"/>
        <w:outlineLvl w:val="1"/>
        <w:rPr>
          <w:rFonts w:ascii="宋体" w:hAnsi="宋体"/>
          <w:b/>
          <w:sz w:val="24"/>
        </w:rPr>
      </w:pPr>
      <w:bookmarkStart w:id="0" w:name="_Toc8522"/>
      <w:bookmarkStart w:id="1" w:name="_Toc19353"/>
      <w:r>
        <w:rPr>
          <w:rFonts w:hint="eastAsia" w:ascii="宋体" w:hAnsi="宋体"/>
          <w:b/>
          <w:sz w:val="24"/>
        </w:rPr>
        <w:t>一、比选条件</w:t>
      </w:r>
      <w:bookmarkEnd w:id="0"/>
      <w:bookmarkEnd w:id="1"/>
    </w:p>
    <w:p w14:paraId="707175D4">
      <w:pPr>
        <w:spacing w:line="360" w:lineRule="auto"/>
        <w:ind w:firstLine="480" w:firstLineChars="200"/>
        <w:rPr>
          <w:rFonts w:ascii="宋体" w:hAnsi="宋体"/>
          <w:sz w:val="24"/>
        </w:rPr>
      </w:pPr>
      <w:r>
        <w:rPr>
          <w:rFonts w:hint="eastAsia" w:ascii="宋体" w:hAnsi="宋体"/>
          <w:sz w:val="24"/>
        </w:rPr>
        <w:t>1.川投国网公司根据经营需要，拟对</w:t>
      </w:r>
      <w:r>
        <w:rPr>
          <w:rFonts w:hint="eastAsia" w:ascii="宋体" w:hAnsi="宋体"/>
          <w:sz w:val="24"/>
          <w:lang w:eastAsia="zh-CN"/>
        </w:rPr>
        <w:t>2025</w:t>
      </w:r>
      <w:r>
        <w:rPr>
          <w:rFonts w:hint="eastAsia" w:ascii="宋体" w:hAnsi="宋体"/>
          <w:sz w:val="24"/>
        </w:rPr>
        <w:t>国际网联世界巡回赛青少年年终总决赛网球赛事技术</w:t>
      </w:r>
      <w:bookmarkStart w:id="12" w:name="_GoBack"/>
      <w:bookmarkEnd w:id="12"/>
      <w:r>
        <w:rPr>
          <w:rFonts w:hint="eastAsia" w:ascii="宋体" w:hAnsi="宋体"/>
          <w:sz w:val="24"/>
        </w:rPr>
        <w:t>服务项目进行公开比选。</w:t>
      </w:r>
    </w:p>
    <w:p w14:paraId="7120CE58">
      <w:pPr>
        <w:spacing w:line="360" w:lineRule="auto"/>
        <w:ind w:firstLine="482" w:firstLineChars="200"/>
        <w:rPr>
          <w:rFonts w:hint="eastAsia" w:ascii="宋体" w:hAnsi="宋体"/>
          <w:b/>
          <w:sz w:val="24"/>
        </w:rPr>
      </w:pPr>
      <w:bookmarkStart w:id="2" w:name="_Toc13905"/>
      <w:bookmarkStart w:id="3" w:name="_Toc27411"/>
      <w:r>
        <w:rPr>
          <w:rFonts w:hint="eastAsia" w:ascii="宋体" w:hAnsi="宋体"/>
          <w:b/>
          <w:sz w:val="24"/>
        </w:rPr>
        <w:t>二、项目概况与比选范围</w:t>
      </w:r>
      <w:bookmarkEnd w:id="2"/>
      <w:bookmarkEnd w:id="3"/>
    </w:p>
    <w:p w14:paraId="017F9262">
      <w:pPr>
        <w:spacing w:line="360" w:lineRule="auto"/>
        <w:ind w:firstLine="480" w:firstLineChars="200"/>
        <w:rPr>
          <w:rFonts w:ascii="宋体" w:hAnsi="宋体"/>
          <w:sz w:val="24"/>
        </w:rPr>
      </w:pPr>
      <w:r>
        <w:rPr>
          <w:rFonts w:hint="eastAsia" w:ascii="宋体" w:hAnsi="宋体"/>
          <w:sz w:val="24"/>
        </w:rPr>
        <w:t>1.项目概况:</w:t>
      </w:r>
    </w:p>
    <w:tbl>
      <w:tblPr>
        <w:tblStyle w:val="8"/>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7291"/>
      </w:tblGrid>
      <w:tr w14:paraId="2F4C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14" w:type="dxa"/>
            <w:noWrap w:val="0"/>
            <w:vAlign w:val="center"/>
          </w:tcPr>
          <w:p w14:paraId="27E034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比选人</w:t>
            </w:r>
          </w:p>
        </w:tc>
        <w:tc>
          <w:tcPr>
            <w:tcW w:w="7291" w:type="dxa"/>
            <w:noWrap w:val="0"/>
            <w:vAlign w:val="center"/>
          </w:tcPr>
          <w:p w14:paraId="03EF46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四川川投国际网球中心开发有限责任公司</w:t>
            </w:r>
          </w:p>
        </w:tc>
      </w:tr>
      <w:tr w14:paraId="2913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14" w:type="dxa"/>
            <w:noWrap w:val="0"/>
            <w:vAlign w:val="center"/>
          </w:tcPr>
          <w:p w14:paraId="3D8FA7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项目名称</w:t>
            </w:r>
          </w:p>
        </w:tc>
        <w:tc>
          <w:tcPr>
            <w:tcW w:w="7291" w:type="dxa"/>
            <w:noWrap w:val="0"/>
            <w:vAlign w:val="center"/>
          </w:tcPr>
          <w:p w14:paraId="6F20B4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lang w:eastAsia="zh-CN"/>
              </w:rPr>
              <w:t>2025</w:t>
            </w:r>
            <w:r>
              <w:rPr>
                <w:rFonts w:hint="eastAsia" w:ascii="宋体" w:hAnsi="宋体"/>
                <w:sz w:val="24"/>
              </w:rPr>
              <w:t>国际网联世界巡回赛青少年年终总决赛网球赛事技术服务项目</w:t>
            </w:r>
          </w:p>
        </w:tc>
      </w:tr>
      <w:tr w14:paraId="7284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14" w:type="dxa"/>
            <w:noWrap w:val="0"/>
            <w:vAlign w:val="center"/>
          </w:tcPr>
          <w:p w14:paraId="47ED0C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项目控制总价</w:t>
            </w:r>
          </w:p>
        </w:tc>
        <w:tc>
          <w:tcPr>
            <w:tcW w:w="7291" w:type="dxa"/>
            <w:noWrap w:val="0"/>
            <w:vAlign w:val="center"/>
          </w:tcPr>
          <w:p w14:paraId="13BB4C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lang w:val="en-US" w:eastAsia="zh-CN"/>
              </w:rPr>
              <w:t>30</w:t>
            </w:r>
            <w:r>
              <w:rPr>
                <w:rFonts w:hint="eastAsia" w:ascii="宋体" w:hAnsi="宋体"/>
                <w:sz w:val="24"/>
              </w:rPr>
              <w:t>万元</w:t>
            </w:r>
          </w:p>
        </w:tc>
      </w:tr>
    </w:tbl>
    <w:p w14:paraId="1DD01ED2">
      <w:pPr>
        <w:spacing w:line="360" w:lineRule="auto"/>
        <w:ind w:firstLine="480" w:firstLineChars="200"/>
        <w:rPr>
          <w:rFonts w:ascii="宋体" w:hAnsi="宋体"/>
          <w:sz w:val="24"/>
        </w:rPr>
      </w:pPr>
      <w:r>
        <w:rPr>
          <w:rFonts w:hint="eastAsia" w:ascii="宋体" w:hAnsi="宋体"/>
          <w:sz w:val="24"/>
        </w:rPr>
        <w:t>2.比选内容</w:t>
      </w:r>
    </w:p>
    <w:p w14:paraId="4DCF3CE1">
      <w:pPr>
        <w:spacing w:line="360" w:lineRule="auto"/>
        <w:ind w:firstLine="602" w:firstLineChars="250"/>
        <w:rPr>
          <w:rFonts w:ascii="宋体" w:hAnsi="宋体"/>
          <w:b/>
          <w:bCs/>
          <w:sz w:val="24"/>
        </w:rPr>
      </w:pPr>
      <w:r>
        <w:rPr>
          <w:rFonts w:hint="eastAsia" w:ascii="宋体" w:hAnsi="宋体"/>
          <w:b/>
          <w:bCs/>
          <w:sz w:val="24"/>
        </w:rPr>
        <w:t>响应人为比选人提供</w:t>
      </w:r>
      <w:r>
        <w:rPr>
          <w:rFonts w:hint="eastAsia" w:ascii="宋体" w:hAnsi="宋体"/>
          <w:b/>
          <w:bCs/>
          <w:sz w:val="24"/>
          <w:lang w:eastAsia="zh-CN"/>
        </w:rPr>
        <w:t>2025</w:t>
      </w:r>
      <w:r>
        <w:rPr>
          <w:rFonts w:hint="eastAsia" w:ascii="宋体" w:hAnsi="宋体"/>
          <w:b/>
          <w:bCs/>
          <w:sz w:val="24"/>
        </w:rPr>
        <w:t>国际网联世界巡回赛青少年年终总决赛网球赛事技术服务</w:t>
      </w:r>
      <w:r>
        <w:rPr>
          <w:rFonts w:hint="eastAsia" w:ascii="宋体" w:hAnsi="宋体"/>
          <w:b/>
          <w:bCs/>
          <w:sz w:val="24"/>
          <w:lang w:val="en-US" w:eastAsia="zh-CN"/>
        </w:rPr>
        <w:t>,包</w:t>
      </w:r>
      <w:r>
        <w:rPr>
          <w:rFonts w:hint="eastAsia" w:ascii="宋体" w:hAnsi="宋体"/>
          <w:b/>
          <w:bCs/>
          <w:sz w:val="24"/>
        </w:rPr>
        <w:t>含3个赛场5天的赛事计时记分、信息处理、电视字幕、技术服务</w:t>
      </w:r>
      <w:r>
        <w:rPr>
          <w:rFonts w:hint="eastAsia" w:ascii="宋体" w:hAnsi="宋体"/>
          <w:b/>
          <w:bCs/>
          <w:sz w:val="24"/>
          <w:lang w:val="en-US" w:eastAsia="zh-CN"/>
        </w:rPr>
        <w:t>,以及其中2个赛场的视频直播信号制作和网络转播服务（</w:t>
      </w:r>
      <w:r>
        <w:rPr>
          <w:rFonts w:hint="eastAsia" w:ascii="宋体" w:hAnsi="宋体" w:cs="宋体"/>
          <w:b/>
          <w:bCs/>
          <w:sz w:val="24"/>
        </w:rPr>
        <w:t>详见第五章 合同样本</w:t>
      </w:r>
      <w:r>
        <w:rPr>
          <w:rFonts w:hint="eastAsia" w:ascii="宋体" w:hAnsi="宋体"/>
          <w:b/>
          <w:bCs/>
          <w:sz w:val="24"/>
          <w:lang w:val="en-US" w:eastAsia="zh-CN"/>
        </w:rPr>
        <w:t>）</w:t>
      </w:r>
      <w:r>
        <w:rPr>
          <w:rFonts w:hint="eastAsia" w:ascii="宋体" w:hAnsi="宋体"/>
          <w:b/>
          <w:bCs/>
          <w:sz w:val="24"/>
        </w:rPr>
        <w:t>。</w:t>
      </w:r>
    </w:p>
    <w:p w14:paraId="3E944D11">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响应人具有独立法人资格（法定代表人为同一个人的两个及两个以上法人，母公司、全资子公司及其控股公司，不得同时参选）。</w:t>
      </w:r>
      <w:r>
        <w:rPr>
          <w:rFonts w:hint="eastAsia" w:ascii="宋体" w:hAnsi="宋体"/>
          <w:b/>
          <w:bCs/>
          <w:sz w:val="24"/>
        </w:rPr>
        <w:t>需提供营业执照</w:t>
      </w:r>
      <w:r>
        <w:rPr>
          <w:rFonts w:ascii="宋体" w:hAnsi="宋体"/>
          <w:b/>
          <w:bCs/>
          <w:sz w:val="24"/>
        </w:rPr>
        <w:t>（</w:t>
      </w:r>
      <w:r>
        <w:rPr>
          <w:rFonts w:hint="eastAsia" w:ascii="宋体" w:hAnsi="宋体"/>
          <w:b/>
          <w:bCs/>
          <w:sz w:val="24"/>
          <w:lang w:eastAsia="zh-Hans"/>
        </w:rPr>
        <w:t>复印件</w:t>
      </w:r>
      <w:r>
        <w:rPr>
          <w:rFonts w:ascii="宋体" w:hAnsi="宋体"/>
          <w:b/>
          <w:bCs/>
          <w:sz w:val="24"/>
        </w:rPr>
        <w:t>）</w:t>
      </w:r>
      <w:r>
        <w:rPr>
          <w:rFonts w:hint="eastAsia" w:ascii="宋体" w:hAnsi="宋体"/>
          <w:b/>
          <w:bCs/>
          <w:sz w:val="24"/>
        </w:rPr>
        <w:t>、企业介绍等资料。</w:t>
      </w:r>
    </w:p>
    <w:p w14:paraId="43B22605">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 xml:space="preserve">2 </w:t>
      </w:r>
      <w:r>
        <w:rPr>
          <w:rFonts w:hint="eastAsia" w:ascii="宋体" w:hAnsi="宋体"/>
          <w:sz w:val="24"/>
        </w:rPr>
        <w:t>近</w:t>
      </w:r>
      <w:r>
        <w:rPr>
          <w:rFonts w:hint="eastAsia" w:ascii="宋体" w:hAnsi="宋体"/>
          <w:sz w:val="24"/>
          <w:lang w:val="en-US" w:eastAsia="zh-CN"/>
        </w:rPr>
        <w:t>两</w:t>
      </w:r>
      <w:r>
        <w:rPr>
          <w:rFonts w:hint="eastAsia" w:ascii="宋体" w:hAnsi="宋体"/>
          <w:sz w:val="24"/>
        </w:rPr>
        <w:t>年</w:t>
      </w:r>
      <w:r>
        <w:rPr>
          <w:rFonts w:hint="eastAsia" w:ascii="宋体" w:hAnsi="宋体" w:cs="宋体"/>
          <w:sz w:val="24"/>
        </w:rPr>
        <w:t>财务状态良好，未处于财产被接管、冻结、破产状态</w:t>
      </w:r>
      <w:r>
        <w:rPr>
          <w:rFonts w:hint="eastAsia" w:ascii="宋体" w:hAnsi="宋体" w:cs="宋体"/>
          <w:b/>
          <w:bCs/>
          <w:sz w:val="24"/>
        </w:rPr>
        <w:t>（提供承诺函）</w:t>
      </w:r>
      <w:r>
        <w:rPr>
          <w:rFonts w:hint="eastAsia" w:ascii="宋体" w:hAnsi="宋体"/>
          <w:sz w:val="24"/>
        </w:rPr>
        <w:t>。</w:t>
      </w:r>
    </w:p>
    <w:p w14:paraId="2276E7F2">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3</w:t>
      </w:r>
      <w:r>
        <w:rPr>
          <w:rFonts w:hint="eastAsia" w:ascii="宋体" w:hAnsi="宋体"/>
          <w:sz w:val="24"/>
          <w:lang w:val="en-US" w:eastAsia="zh-CN"/>
        </w:rPr>
        <w:t xml:space="preserve"> </w:t>
      </w:r>
      <w:r>
        <w:rPr>
          <w:rFonts w:hint="eastAsia" w:ascii="宋体" w:hAnsi="宋体"/>
          <w:b/>
          <w:bCs/>
          <w:sz w:val="24"/>
        </w:rPr>
        <w:t>近三年</w:t>
      </w:r>
      <w:r>
        <w:rPr>
          <w:rFonts w:hint="eastAsia" w:ascii="宋体" w:hAnsi="宋体"/>
          <w:b/>
          <w:bCs/>
          <w:sz w:val="24"/>
          <w:lang w:eastAsia="zh-Hans"/>
        </w:rPr>
        <w:t>未受到过</w:t>
      </w:r>
      <w:r>
        <w:rPr>
          <w:rFonts w:hint="eastAsia" w:ascii="宋体" w:hAnsi="宋体"/>
          <w:b/>
          <w:bCs/>
          <w:sz w:val="24"/>
        </w:rPr>
        <w:t>行政处罚</w:t>
      </w:r>
      <w:r>
        <w:rPr>
          <w:rFonts w:ascii="宋体" w:hAnsi="宋体"/>
          <w:sz w:val="24"/>
        </w:rPr>
        <w:t>（</w:t>
      </w:r>
      <w:r>
        <w:rPr>
          <w:rFonts w:hint="eastAsia" w:ascii="宋体" w:hAnsi="宋体"/>
          <w:sz w:val="24"/>
          <w:lang w:eastAsia="zh-Hans"/>
        </w:rPr>
        <w:t>提供</w:t>
      </w:r>
      <w:r>
        <w:rPr>
          <w:rFonts w:hint="eastAsia" w:ascii="宋体" w:hAnsi="宋体" w:cs="仿宋_GB2312"/>
          <w:b/>
          <w:bCs w:val="0"/>
          <w:sz w:val="24"/>
          <w:u w:val="single"/>
        </w:rPr>
        <w:t>“国家企业信用信息公示系统”</w:t>
      </w:r>
      <w:r>
        <w:rPr>
          <w:rFonts w:hint="eastAsia" w:ascii="宋体" w:hAnsi="宋体" w:cs="宋体"/>
          <w:b/>
          <w:bCs w:val="0"/>
          <w:sz w:val="24"/>
          <w:u w:val="single"/>
        </w:rPr>
        <w:fldChar w:fldCharType="begin"/>
      </w:r>
      <w:r>
        <w:rPr>
          <w:rFonts w:hint="eastAsia" w:ascii="宋体" w:hAnsi="宋体" w:cs="宋体"/>
          <w:b/>
          <w:bCs w:val="0"/>
          <w:sz w:val="24"/>
          <w:u w:val="single"/>
        </w:rPr>
        <w:instrText xml:space="preserve"> HYPERLINK "https://www.gsxt.gov.cn/index.html" </w:instrText>
      </w:r>
      <w:r>
        <w:rPr>
          <w:rFonts w:hint="eastAsia" w:ascii="宋体" w:hAnsi="宋体" w:cs="宋体"/>
          <w:b/>
          <w:bCs w:val="0"/>
          <w:sz w:val="24"/>
          <w:u w:val="single"/>
        </w:rPr>
        <w:fldChar w:fldCharType="separate"/>
      </w:r>
      <w:r>
        <w:rPr>
          <w:rStyle w:val="11"/>
          <w:rFonts w:hint="eastAsia" w:ascii="宋体" w:hAnsi="宋体" w:cs="宋体"/>
          <w:b/>
          <w:bCs w:val="0"/>
          <w:sz w:val="24"/>
        </w:rPr>
        <w:t>https://www.gsxt.gov.cn/index.html</w:t>
      </w:r>
      <w:r>
        <w:rPr>
          <w:rFonts w:hint="eastAsia" w:ascii="宋体" w:hAnsi="宋体" w:cs="宋体"/>
          <w:b/>
          <w:bCs w:val="0"/>
          <w:sz w:val="24"/>
          <w:u w:val="single"/>
        </w:rPr>
        <w:fldChar w:fldCharType="end"/>
      </w:r>
      <w:r>
        <w:rPr>
          <w:rFonts w:hint="eastAsia" w:ascii="宋体" w:hAnsi="宋体" w:cs="仿宋_GB2312"/>
          <w:bCs/>
          <w:sz w:val="24"/>
        </w:rPr>
        <w:t>下载的最新企业信用信息公示报告或查询截图</w:t>
      </w:r>
      <w:r>
        <w:rPr>
          <w:rFonts w:ascii="宋体" w:hAnsi="宋体"/>
          <w:sz w:val="24"/>
        </w:rPr>
        <w:t>）；</w:t>
      </w:r>
      <w:r>
        <w:rPr>
          <w:rFonts w:hint="eastAsia" w:ascii="宋体" w:hAnsi="宋体"/>
          <w:b/>
          <w:bCs/>
          <w:sz w:val="24"/>
        </w:rPr>
        <w:t>未被人民法院列为失信被执行人</w:t>
      </w:r>
      <w:r>
        <w:rPr>
          <w:rFonts w:ascii="宋体" w:hAnsi="宋体"/>
          <w:sz w:val="24"/>
        </w:rPr>
        <w:t>（</w:t>
      </w:r>
      <w:r>
        <w:rPr>
          <w:rFonts w:hint="eastAsia" w:ascii="宋体" w:hAnsi="宋体"/>
          <w:sz w:val="24"/>
          <w:lang w:eastAsia="zh-Hans"/>
        </w:rPr>
        <w:t>提供</w:t>
      </w:r>
      <w:r>
        <w:rPr>
          <w:rFonts w:hint="eastAsia" w:ascii="宋体" w:hAnsi="宋体" w:cs="宋体-18030"/>
          <w:b/>
          <w:bCs/>
          <w:sz w:val="24"/>
          <w:u w:val="single"/>
        </w:rPr>
        <w:t>“中国执行信息公开网”网站</w:t>
      </w:r>
      <w:r>
        <w:rPr>
          <w:rFonts w:hint="eastAsia" w:ascii="宋体" w:hAnsi="宋体" w:cs="宋体-18030"/>
          <w:b/>
          <w:bCs/>
          <w:sz w:val="24"/>
          <w:u w:val="single"/>
        </w:rPr>
        <w:fldChar w:fldCharType="begin"/>
      </w:r>
      <w:r>
        <w:rPr>
          <w:rFonts w:hint="eastAsia" w:ascii="宋体" w:hAnsi="宋体" w:cs="宋体-18030"/>
          <w:b/>
          <w:bCs/>
          <w:sz w:val="24"/>
          <w:u w:val="single"/>
        </w:rPr>
        <w:instrText xml:space="preserve"> HYPERLINK "http://zxgk.court.gov.cn/" </w:instrText>
      </w:r>
      <w:r>
        <w:rPr>
          <w:rFonts w:hint="eastAsia" w:ascii="宋体" w:hAnsi="宋体" w:cs="宋体-18030"/>
          <w:b/>
          <w:bCs/>
          <w:sz w:val="24"/>
          <w:u w:val="single"/>
        </w:rPr>
        <w:fldChar w:fldCharType="separate"/>
      </w:r>
      <w:r>
        <w:rPr>
          <w:rStyle w:val="11"/>
          <w:rFonts w:hint="eastAsia" w:ascii="宋体" w:hAnsi="宋体" w:cs="宋体-18030"/>
          <w:b/>
          <w:bCs/>
          <w:sz w:val="24"/>
        </w:rPr>
        <w:t>zxgk.court.gov.cn/</w:t>
      </w:r>
      <w:r>
        <w:rPr>
          <w:rFonts w:hint="eastAsia" w:ascii="宋体" w:hAnsi="宋体" w:cs="宋体-18030"/>
          <w:b/>
          <w:bCs/>
          <w:sz w:val="24"/>
          <w:u w:val="single"/>
        </w:rPr>
        <w:fldChar w:fldCharType="end"/>
      </w:r>
      <w:r>
        <w:rPr>
          <w:rFonts w:hint="eastAsia" w:ascii="宋体" w:hAnsi="宋体" w:cs="宋体-18030"/>
          <w:sz w:val="24"/>
        </w:rPr>
        <w:t>最新查询结果</w:t>
      </w:r>
      <w:r>
        <w:rPr>
          <w:rFonts w:hint="eastAsia" w:ascii="宋体" w:hAnsi="宋体" w:cs="宋体-18030"/>
          <w:sz w:val="24"/>
          <w:lang w:eastAsia="zh-Hans"/>
        </w:rPr>
        <w:t>截图</w:t>
      </w:r>
      <w:r>
        <w:rPr>
          <w:rFonts w:ascii="宋体" w:hAnsi="宋体"/>
          <w:sz w:val="24"/>
        </w:rPr>
        <w:t>）</w:t>
      </w:r>
      <w:r>
        <w:rPr>
          <w:rFonts w:hint="eastAsia" w:ascii="宋体" w:hAnsi="宋体"/>
          <w:sz w:val="24"/>
        </w:rPr>
        <w:t>。</w:t>
      </w:r>
    </w:p>
    <w:p w14:paraId="21531A55">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4</w:t>
      </w:r>
      <w:r>
        <w:rPr>
          <w:rFonts w:hint="eastAsia" w:ascii="宋体" w:hAnsi="宋体"/>
          <w:sz w:val="24"/>
          <w:lang w:val="en-US" w:eastAsia="zh-CN"/>
        </w:rPr>
        <w:t xml:space="preserve"> </w:t>
      </w:r>
      <w:r>
        <w:rPr>
          <w:rFonts w:hint="eastAsia" w:ascii="宋体" w:hAnsi="宋体"/>
          <w:sz w:val="24"/>
        </w:rPr>
        <w:t>20</w:t>
      </w:r>
      <w:r>
        <w:rPr>
          <w:rFonts w:hint="eastAsia" w:ascii="宋体" w:hAnsi="宋体"/>
          <w:sz w:val="24"/>
          <w:lang w:val="en-US" w:eastAsia="zh-CN"/>
        </w:rPr>
        <w:t>20</w:t>
      </w:r>
      <w:r>
        <w:rPr>
          <w:rFonts w:hint="eastAsia" w:ascii="宋体" w:hAnsi="宋体"/>
          <w:sz w:val="24"/>
        </w:rPr>
        <w:t>年至今具有</w:t>
      </w:r>
      <w:r>
        <w:rPr>
          <w:rFonts w:hint="eastAsia" w:ascii="宋体" w:hAnsi="宋体"/>
          <w:sz w:val="24"/>
          <w:lang w:val="en-US" w:eastAsia="zh-CN"/>
        </w:rPr>
        <w:t>1</w:t>
      </w:r>
      <w:r>
        <w:rPr>
          <w:rFonts w:hint="eastAsia" w:ascii="宋体" w:hAnsi="宋体"/>
          <w:sz w:val="24"/>
        </w:rPr>
        <w:t>个及以上与比选内容（全部或部分）相关的赛事</w:t>
      </w:r>
      <w:r>
        <w:rPr>
          <w:rFonts w:hint="eastAsia"/>
          <w:sz w:val="24"/>
        </w:rPr>
        <w:t>服务业绩（</w:t>
      </w:r>
      <w:r>
        <w:rPr>
          <w:rFonts w:hint="eastAsia" w:ascii="宋体" w:hAnsi="宋体"/>
          <w:sz w:val="24"/>
        </w:rPr>
        <w:t>需提供加盖鲜章的合同复印件）。</w:t>
      </w:r>
    </w:p>
    <w:p w14:paraId="21640F26">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5</w:t>
      </w:r>
      <w:r>
        <w:rPr>
          <w:rFonts w:hint="eastAsia" w:ascii="宋体" w:hAnsi="宋体"/>
          <w:sz w:val="24"/>
          <w:lang w:val="en-US" w:eastAsia="zh-CN"/>
        </w:rPr>
        <w:t xml:space="preserve"> </w:t>
      </w:r>
      <w:r>
        <w:rPr>
          <w:rFonts w:hint="eastAsia" w:ascii="宋体" w:hAnsi="宋体"/>
          <w:sz w:val="24"/>
        </w:rPr>
        <w:t>本次比选不接受联合体投标。</w:t>
      </w:r>
    </w:p>
    <w:p w14:paraId="51ADB7ED">
      <w:pPr>
        <w:spacing w:line="360" w:lineRule="auto"/>
        <w:ind w:firstLine="482" w:firstLineChars="200"/>
        <w:outlineLvl w:val="1"/>
        <w:rPr>
          <w:rFonts w:ascii="宋体" w:hAnsi="宋体"/>
          <w:b/>
          <w:sz w:val="24"/>
        </w:rPr>
      </w:pPr>
      <w:bookmarkStart w:id="4" w:name="_Toc14290"/>
      <w:bookmarkStart w:id="5" w:name="_Toc12486"/>
      <w:r>
        <w:rPr>
          <w:rFonts w:hint="eastAsia" w:ascii="宋体" w:hAnsi="宋体"/>
          <w:b/>
          <w:sz w:val="24"/>
        </w:rPr>
        <w:t>四、比选文件的获取</w:t>
      </w:r>
      <w:bookmarkEnd w:id="4"/>
      <w:bookmarkEnd w:id="5"/>
    </w:p>
    <w:p w14:paraId="19AECF9F">
      <w:pPr>
        <w:spacing w:line="360" w:lineRule="auto"/>
        <w:ind w:firstLine="480" w:firstLineChars="200"/>
        <w:rPr>
          <w:rFonts w:hint="eastAsia" w:ascii="宋体" w:hAnsi="宋体" w:cs="宋体"/>
          <w:sz w:val="24"/>
        </w:rPr>
      </w:pPr>
      <w:r>
        <w:rPr>
          <w:rFonts w:hint="eastAsia" w:ascii="宋体" w:hAnsi="宋体" w:cs="宋体"/>
          <w:sz w:val="24"/>
        </w:rPr>
        <w:t>响应人请于</w:t>
      </w:r>
      <w:r>
        <w:rPr>
          <w:rFonts w:hint="eastAsia" w:ascii="宋体" w:hAnsi="宋体" w:cs="宋体"/>
          <w:b/>
          <w:bCs/>
          <w:sz w:val="24"/>
          <w:u w:val="single"/>
          <w:lang w:eastAsia="zh-CN"/>
        </w:rPr>
        <w:t>2025</w:t>
      </w:r>
      <w:r>
        <w:rPr>
          <w:rFonts w:hint="eastAsia" w:ascii="宋体" w:hAnsi="宋体" w:cs="宋体"/>
          <w:b/>
          <w:bCs/>
          <w:sz w:val="24"/>
          <w:u w:val="single"/>
        </w:rPr>
        <w:t>年</w:t>
      </w:r>
      <w:r>
        <w:rPr>
          <w:rFonts w:hint="eastAsia" w:ascii="宋体" w:hAnsi="宋体" w:cs="宋体"/>
          <w:b/>
          <w:bCs/>
          <w:sz w:val="24"/>
          <w:u w:val="single"/>
          <w:lang w:val="en-US" w:eastAsia="zh-CN"/>
        </w:rPr>
        <w:t>5</w:t>
      </w:r>
      <w:r>
        <w:rPr>
          <w:rFonts w:hint="eastAsia" w:ascii="宋体" w:hAnsi="宋体" w:cs="宋体"/>
          <w:b/>
          <w:bCs/>
          <w:sz w:val="24"/>
          <w:u w:val="single"/>
        </w:rPr>
        <w:t>月</w:t>
      </w:r>
      <w:r>
        <w:rPr>
          <w:rFonts w:hint="eastAsia" w:ascii="宋体" w:hAnsi="宋体" w:cs="宋体"/>
          <w:b/>
          <w:bCs/>
          <w:sz w:val="24"/>
          <w:u w:val="single"/>
          <w:lang w:val="en-US" w:eastAsia="zh-CN"/>
        </w:rPr>
        <w:t>15</w:t>
      </w:r>
      <w:r>
        <w:rPr>
          <w:rFonts w:hint="eastAsia" w:ascii="宋体" w:hAnsi="宋体" w:cs="宋体"/>
          <w:b/>
          <w:bCs/>
          <w:sz w:val="24"/>
          <w:u w:val="single"/>
        </w:rPr>
        <w:t>日至</w:t>
      </w:r>
      <w:r>
        <w:rPr>
          <w:rFonts w:hint="eastAsia" w:ascii="宋体" w:hAnsi="宋体" w:cs="宋体"/>
          <w:b/>
          <w:bCs/>
          <w:sz w:val="24"/>
          <w:u w:val="single"/>
          <w:lang w:eastAsia="zh-CN"/>
        </w:rPr>
        <w:t>2025</w:t>
      </w:r>
      <w:r>
        <w:rPr>
          <w:rFonts w:hint="eastAsia" w:ascii="宋体" w:hAnsi="宋体" w:cs="宋体"/>
          <w:b/>
          <w:bCs/>
          <w:sz w:val="24"/>
          <w:u w:val="single"/>
        </w:rPr>
        <w:t>年</w:t>
      </w:r>
      <w:r>
        <w:rPr>
          <w:rFonts w:hint="eastAsia" w:ascii="宋体" w:hAnsi="宋体" w:cs="宋体"/>
          <w:b/>
          <w:bCs/>
          <w:sz w:val="24"/>
          <w:u w:val="single"/>
          <w:lang w:val="en-US" w:eastAsia="zh-CN"/>
        </w:rPr>
        <w:t>5</w:t>
      </w:r>
      <w:r>
        <w:rPr>
          <w:rFonts w:hint="eastAsia" w:ascii="宋体" w:hAnsi="宋体" w:cs="宋体"/>
          <w:b/>
          <w:bCs/>
          <w:sz w:val="24"/>
          <w:u w:val="single"/>
        </w:rPr>
        <w:t>月</w:t>
      </w:r>
      <w:r>
        <w:rPr>
          <w:rFonts w:hint="eastAsia" w:ascii="宋体" w:hAnsi="宋体" w:cs="宋体"/>
          <w:b/>
          <w:bCs/>
          <w:sz w:val="24"/>
          <w:u w:val="single"/>
          <w:lang w:val="en-US" w:eastAsia="zh-CN"/>
        </w:rPr>
        <w:t>21</w:t>
      </w:r>
      <w:r>
        <w:rPr>
          <w:rFonts w:hint="eastAsia" w:ascii="宋体" w:hAnsi="宋体" w:cs="宋体"/>
          <w:b/>
          <w:bCs/>
          <w:sz w:val="24"/>
          <w:u w:val="single"/>
        </w:rPr>
        <w:t>日17:00时</w:t>
      </w:r>
      <w:r>
        <w:rPr>
          <w:rFonts w:hint="eastAsia" w:ascii="宋体" w:hAnsi="宋体" w:cs="宋体"/>
          <w:sz w:val="24"/>
        </w:rPr>
        <w:t>（北京时间，下同），通过天府阳光采购服务平台（http://scig.tfygcgfw.com/）报名获取比选文件。</w:t>
      </w:r>
    </w:p>
    <w:p w14:paraId="7DCA9CE4">
      <w:pPr>
        <w:spacing w:line="360" w:lineRule="auto"/>
        <w:ind w:firstLine="482" w:firstLineChars="200"/>
        <w:outlineLvl w:val="1"/>
        <w:rPr>
          <w:rFonts w:ascii="宋体" w:hAnsi="宋体"/>
          <w:b/>
          <w:sz w:val="24"/>
        </w:rPr>
      </w:pPr>
      <w:bookmarkStart w:id="6" w:name="_Toc8564"/>
      <w:bookmarkStart w:id="7" w:name="_Toc31807"/>
      <w:r>
        <w:rPr>
          <w:rFonts w:hint="eastAsia" w:ascii="宋体" w:hAnsi="宋体"/>
          <w:b/>
          <w:sz w:val="24"/>
        </w:rPr>
        <w:t>五、</w:t>
      </w:r>
      <w:r>
        <w:rPr>
          <w:rFonts w:hint="eastAsia" w:ascii="宋体" w:hAnsi="宋体"/>
          <w:b/>
          <w:sz w:val="24"/>
          <w:lang w:eastAsia="zh-CN"/>
        </w:rPr>
        <w:t>响应文件</w:t>
      </w:r>
      <w:r>
        <w:rPr>
          <w:rFonts w:hint="eastAsia" w:ascii="宋体" w:hAnsi="宋体"/>
          <w:b/>
          <w:sz w:val="24"/>
        </w:rPr>
        <w:t>的递交</w:t>
      </w:r>
      <w:bookmarkEnd w:id="6"/>
      <w:bookmarkEnd w:id="7"/>
    </w:p>
    <w:p w14:paraId="6F538028">
      <w:pPr>
        <w:spacing w:line="360" w:lineRule="auto"/>
        <w:ind w:firstLine="480" w:firstLineChars="200"/>
        <w:rPr>
          <w:rFonts w:ascii="宋体" w:hAnsi="宋体"/>
          <w:color w:val="000000"/>
          <w:sz w:val="24"/>
        </w:rPr>
      </w:pPr>
      <w:r>
        <w:rPr>
          <w:rFonts w:hint="eastAsia" w:ascii="宋体" w:hAnsi="宋体"/>
          <w:sz w:val="24"/>
        </w:rPr>
        <w:t>1.</w:t>
      </w:r>
      <w:r>
        <w:rPr>
          <w:rFonts w:hint="eastAsia" w:ascii="宋体" w:hAnsi="宋体"/>
          <w:color w:val="000000"/>
          <w:sz w:val="24"/>
          <w:lang w:eastAsia="zh-CN"/>
        </w:rPr>
        <w:t>响应文件</w:t>
      </w:r>
      <w:r>
        <w:rPr>
          <w:rFonts w:hint="eastAsia" w:ascii="宋体" w:hAnsi="宋体"/>
          <w:b/>
          <w:bCs/>
          <w:color w:val="000000"/>
          <w:sz w:val="24"/>
        </w:rPr>
        <w:t>递交时间为</w:t>
      </w:r>
      <w:r>
        <w:rPr>
          <w:rFonts w:hint="eastAsia" w:ascii="宋体" w:hAnsi="宋体"/>
          <w:b/>
          <w:bCs/>
          <w:color w:val="000000"/>
          <w:sz w:val="24"/>
          <w:u w:val="single"/>
          <w:lang w:eastAsia="zh-CN"/>
        </w:rPr>
        <w:t>2025</w:t>
      </w:r>
      <w:r>
        <w:rPr>
          <w:rFonts w:hint="eastAsia" w:ascii="宋体" w:hAnsi="宋体"/>
          <w:b/>
          <w:bCs/>
          <w:color w:val="000000"/>
          <w:sz w:val="24"/>
          <w:u w:val="single"/>
        </w:rPr>
        <w:t>年</w:t>
      </w:r>
      <w:r>
        <w:rPr>
          <w:rFonts w:hint="eastAsia" w:ascii="宋体" w:hAnsi="宋体"/>
          <w:b/>
          <w:bCs/>
          <w:color w:val="000000"/>
          <w:sz w:val="24"/>
          <w:u w:val="single"/>
          <w:lang w:val="en-US" w:eastAsia="zh-CN"/>
        </w:rPr>
        <w:t>5</w:t>
      </w:r>
      <w:r>
        <w:rPr>
          <w:rFonts w:hint="eastAsia" w:ascii="宋体" w:hAnsi="宋体"/>
          <w:b/>
          <w:bCs/>
          <w:color w:val="000000"/>
          <w:sz w:val="24"/>
          <w:u w:val="single"/>
        </w:rPr>
        <w:t>月</w:t>
      </w:r>
      <w:r>
        <w:rPr>
          <w:rFonts w:hint="eastAsia" w:ascii="宋体" w:hAnsi="宋体"/>
          <w:b/>
          <w:bCs/>
          <w:color w:val="000000"/>
          <w:sz w:val="24"/>
          <w:u w:val="single"/>
          <w:lang w:val="en-US" w:eastAsia="zh-CN"/>
        </w:rPr>
        <w:t>23</w:t>
      </w:r>
      <w:r>
        <w:rPr>
          <w:rFonts w:hint="eastAsia" w:ascii="宋体" w:hAnsi="宋体"/>
          <w:b/>
          <w:bCs/>
          <w:color w:val="000000"/>
          <w:sz w:val="24"/>
          <w:u w:val="single"/>
        </w:rPr>
        <w:t>日</w:t>
      </w:r>
      <w:r>
        <w:rPr>
          <w:rFonts w:hint="eastAsia" w:ascii="宋体" w:hAnsi="宋体"/>
          <w:b/>
          <w:bCs/>
          <w:sz w:val="24"/>
          <w:u w:val="single"/>
        </w:rPr>
        <w:t>1</w:t>
      </w:r>
      <w:r>
        <w:rPr>
          <w:rFonts w:hint="eastAsia" w:ascii="宋体" w:hAnsi="宋体"/>
          <w:b/>
          <w:bCs/>
          <w:sz w:val="24"/>
          <w:u w:val="single"/>
          <w:lang w:val="en-US" w:eastAsia="zh-CN"/>
        </w:rPr>
        <w:t>5</w:t>
      </w:r>
      <w:r>
        <w:rPr>
          <w:rFonts w:hint="eastAsia" w:ascii="宋体" w:hAnsi="宋体"/>
          <w:b/>
          <w:bCs/>
          <w:color w:val="000000"/>
          <w:sz w:val="24"/>
          <w:u w:val="single"/>
        </w:rPr>
        <w:t>时</w:t>
      </w:r>
      <w:r>
        <w:rPr>
          <w:rFonts w:hint="eastAsia" w:ascii="宋体" w:hAnsi="宋体"/>
          <w:b/>
          <w:bCs/>
          <w:color w:val="000000"/>
          <w:sz w:val="24"/>
          <w:u w:val="single"/>
          <w:lang w:val="en-US" w:eastAsia="zh-CN"/>
        </w:rPr>
        <w:t>0</w:t>
      </w:r>
      <w:r>
        <w:rPr>
          <w:rFonts w:hint="eastAsia" w:ascii="宋体" w:hAnsi="宋体"/>
          <w:b/>
          <w:bCs/>
          <w:sz w:val="24"/>
          <w:u w:val="single"/>
        </w:rPr>
        <w:t>0</w:t>
      </w:r>
      <w:r>
        <w:rPr>
          <w:rFonts w:hint="eastAsia" w:ascii="宋体" w:hAnsi="宋体"/>
          <w:b/>
          <w:bCs/>
          <w:color w:val="000000"/>
          <w:sz w:val="24"/>
          <w:u w:val="single"/>
        </w:rPr>
        <w:t>分</w:t>
      </w:r>
      <w:r>
        <w:rPr>
          <w:rFonts w:hint="eastAsia" w:ascii="宋体" w:hAnsi="宋体"/>
          <w:color w:val="000000"/>
          <w:sz w:val="24"/>
        </w:rPr>
        <w:t>，地点为</w:t>
      </w:r>
      <w:r>
        <w:rPr>
          <w:rFonts w:hint="eastAsia" w:ascii="宋体" w:hAnsi="宋体"/>
          <w:b/>
          <w:bCs/>
          <w:color w:val="000000"/>
          <w:sz w:val="24"/>
          <w:u w:val="single"/>
        </w:rPr>
        <w:t>成都市双流区金河路66号四川国际网球中心</w:t>
      </w:r>
      <w:r>
        <w:rPr>
          <w:rFonts w:hint="eastAsia" w:ascii="宋体" w:hAnsi="宋体"/>
          <w:b/>
          <w:bCs/>
          <w:color w:val="000000"/>
          <w:sz w:val="24"/>
          <w:u w:val="single"/>
          <w:lang w:val="en-US" w:eastAsia="zh-CN"/>
        </w:rPr>
        <w:t>大会议室（ZN118）</w:t>
      </w:r>
      <w:r>
        <w:rPr>
          <w:rFonts w:hint="eastAsia" w:ascii="宋体" w:hAnsi="宋体"/>
          <w:b/>
          <w:bCs/>
          <w:color w:val="000000"/>
          <w:sz w:val="24"/>
          <w:u w:val="single"/>
        </w:rPr>
        <w:t>。</w:t>
      </w:r>
    </w:p>
    <w:p w14:paraId="47201BDC">
      <w:pPr>
        <w:spacing w:line="360" w:lineRule="auto"/>
        <w:ind w:firstLine="480" w:firstLineChars="200"/>
        <w:rPr>
          <w:rFonts w:ascii="宋体" w:hAnsi="宋体"/>
          <w:sz w:val="24"/>
        </w:rPr>
      </w:pPr>
      <w:r>
        <w:rPr>
          <w:rFonts w:hint="eastAsia" w:ascii="宋体" w:hAnsi="宋体"/>
          <w:sz w:val="24"/>
        </w:rPr>
        <w:t>2.逾期送达的或者未送达指定地点的</w:t>
      </w:r>
      <w:r>
        <w:rPr>
          <w:rFonts w:hint="eastAsia" w:ascii="宋体" w:hAnsi="宋体"/>
          <w:sz w:val="24"/>
          <w:lang w:eastAsia="zh-CN"/>
        </w:rPr>
        <w:t>响应文件</w:t>
      </w:r>
      <w:r>
        <w:rPr>
          <w:rFonts w:hint="eastAsia" w:ascii="宋体" w:hAnsi="宋体"/>
          <w:sz w:val="24"/>
        </w:rPr>
        <w:t>，比选人不予受理。</w:t>
      </w:r>
    </w:p>
    <w:p w14:paraId="2BB72988">
      <w:pPr>
        <w:spacing w:line="360" w:lineRule="auto"/>
        <w:ind w:firstLine="482" w:firstLineChars="200"/>
        <w:outlineLvl w:val="1"/>
        <w:rPr>
          <w:rFonts w:ascii="宋体" w:hAnsi="宋体"/>
          <w:b/>
          <w:sz w:val="24"/>
        </w:rPr>
      </w:pPr>
      <w:bookmarkStart w:id="8" w:name="_Toc18760"/>
      <w:bookmarkStart w:id="9" w:name="_Toc27225"/>
      <w:r>
        <w:rPr>
          <w:rFonts w:hint="eastAsia" w:ascii="宋体" w:hAnsi="宋体"/>
          <w:b/>
          <w:sz w:val="24"/>
        </w:rPr>
        <w:t>六、比选公告发布</w:t>
      </w:r>
      <w:bookmarkEnd w:id="8"/>
      <w:bookmarkEnd w:id="9"/>
    </w:p>
    <w:p w14:paraId="1968AF33">
      <w:pPr>
        <w:spacing w:line="360" w:lineRule="auto"/>
        <w:ind w:firstLine="480" w:firstLineChars="200"/>
        <w:rPr>
          <w:rFonts w:ascii="宋体" w:hAnsi="宋体"/>
          <w:szCs w:val="21"/>
        </w:rPr>
      </w:pPr>
      <w:r>
        <w:rPr>
          <w:rFonts w:hint="eastAsia" w:ascii="宋体" w:hAnsi="宋体" w:cs="宋体"/>
          <w:sz w:val="24"/>
        </w:rPr>
        <w:t>本比选公告在四川省投资集团有限责任公司(http://www.invest.com.cn/)、四川川投国际网球中心开发有限责任公司官网（</w:t>
      </w:r>
      <w:r>
        <w:rPr>
          <w:rFonts w:hint="eastAsia" w:ascii="宋体" w:hAnsi="宋体" w:cs="宋体"/>
        </w:rPr>
        <w:fldChar w:fldCharType="begin"/>
      </w:r>
      <w:r>
        <w:rPr>
          <w:rFonts w:hint="eastAsia" w:ascii="宋体" w:hAnsi="宋体" w:cs="宋体"/>
        </w:rPr>
        <w:instrText xml:space="preserve"> HYPERLINK "http://www.sciitc.com/" </w:instrText>
      </w:r>
      <w:r>
        <w:rPr>
          <w:rFonts w:hint="eastAsia" w:ascii="宋体" w:hAnsi="宋体" w:cs="宋体"/>
        </w:rPr>
        <w:fldChar w:fldCharType="separate"/>
      </w:r>
      <w:r>
        <w:rPr>
          <w:rFonts w:hint="eastAsia" w:ascii="宋体" w:hAnsi="宋体" w:cs="宋体"/>
          <w:sz w:val="24"/>
        </w:rPr>
        <w:t>http://www.sciitc.com/</w:t>
      </w:r>
      <w:r>
        <w:rPr>
          <w:rFonts w:hint="eastAsia" w:ascii="宋体" w:hAnsi="宋体" w:cs="宋体"/>
          <w:sz w:val="24"/>
        </w:rPr>
        <w:fldChar w:fldCharType="end"/>
      </w:r>
      <w:r>
        <w:rPr>
          <w:rFonts w:hint="eastAsia" w:ascii="宋体" w:hAnsi="宋体" w:cs="宋体"/>
          <w:sz w:val="24"/>
        </w:rPr>
        <w:t>）及天府阳光采购服务平台（http://scig.tfygcgfw.com/）发布。</w:t>
      </w:r>
    </w:p>
    <w:p w14:paraId="71148518">
      <w:pPr>
        <w:spacing w:line="360" w:lineRule="auto"/>
        <w:ind w:firstLine="482" w:firstLineChars="200"/>
        <w:outlineLvl w:val="1"/>
        <w:rPr>
          <w:rFonts w:ascii="宋体" w:hAnsi="宋体"/>
          <w:b/>
          <w:color w:val="000000"/>
          <w:sz w:val="24"/>
        </w:rPr>
      </w:pPr>
      <w:bookmarkStart w:id="10" w:name="_Toc26273"/>
      <w:bookmarkStart w:id="11" w:name="_Toc27481"/>
      <w:r>
        <w:rPr>
          <w:rFonts w:hint="eastAsia" w:ascii="宋体" w:hAnsi="宋体"/>
          <w:b/>
          <w:color w:val="000000"/>
          <w:sz w:val="24"/>
        </w:rPr>
        <w:t>七、联系方式</w:t>
      </w:r>
      <w:bookmarkEnd w:id="10"/>
      <w:bookmarkEnd w:id="11"/>
    </w:p>
    <w:p w14:paraId="29179DC7">
      <w:pPr>
        <w:spacing w:line="360" w:lineRule="auto"/>
        <w:ind w:firstLine="480" w:firstLineChars="200"/>
        <w:rPr>
          <w:rFonts w:hint="eastAsia" w:ascii="宋体" w:hAnsi="宋体" w:cs="宋体"/>
          <w:sz w:val="24"/>
        </w:rPr>
      </w:pPr>
      <w:r>
        <w:rPr>
          <w:rFonts w:hint="eastAsia" w:ascii="宋体" w:hAnsi="宋体" w:cs="宋体"/>
          <w:sz w:val="24"/>
        </w:rPr>
        <w:t>比选人：</w:t>
      </w:r>
      <w:r>
        <w:rPr>
          <w:rFonts w:hint="eastAsia" w:ascii="宋体" w:hAnsi="宋体" w:cs="宋体"/>
          <w:sz w:val="24"/>
          <w:u w:val="single"/>
        </w:rPr>
        <w:t>四川川投国际网球中心开发有限责任公司</w:t>
      </w:r>
    </w:p>
    <w:p w14:paraId="620622F3">
      <w:pPr>
        <w:spacing w:line="360" w:lineRule="auto"/>
        <w:ind w:firstLine="480" w:firstLineChars="200"/>
        <w:rPr>
          <w:rFonts w:hint="eastAsia" w:ascii="宋体" w:hAnsi="宋体" w:cs="宋体"/>
          <w:sz w:val="24"/>
        </w:rPr>
      </w:pPr>
      <w:r>
        <w:rPr>
          <w:rFonts w:hint="eastAsia" w:ascii="宋体" w:hAnsi="宋体" w:cs="宋体"/>
          <w:sz w:val="24"/>
        </w:rPr>
        <w:t>地址:</w:t>
      </w:r>
      <w:r>
        <w:rPr>
          <w:rFonts w:hint="eastAsia" w:ascii="宋体" w:hAnsi="宋体" w:cs="宋体"/>
          <w:color w:val="000000"/>
          <w:sz w:val="24"/>
          <w:u w:val="single"/>
        </w:rPr>
        <w:t xml:space="preserve"> 成都市双流区金河路66号</w:t>
      </w:r>
    </w:p>
    <w:p w14:paraId="2E0E650F">
      <w:pPr>
        <w:spacing w:line="360" w:lineRule="auto"/>
        <w:ind w:firstLine="480" w:firstLineChars="200"/>
        <w:rPr>
          <w:rFonts w:hint="eastAsia" w:ascii="宋体" w:hAnsi="宋体" w:cs="宋体"/>
          <w:sz w:val="24"/>
        </w:rPr>
      </w:pPr>
      <w:r>
        <w:rPr>
          <w:rFonts w:hint="eastAsia" w:ascii="宋体" w:hAnsi="宋体" w:cs="宋体"/>
          <w:sz w:val="24"/>
        </w:rPr>
        <w:t>联系人：何女士</w:t>
      </w:r>
    </w:p>
    <w:p w14:paraId="1E0DA47B">
      <w:pPr>
        <w:ind w:firstLine="480" w:firstLineChars="200"/>
        <w:rPr>
          <w:rFonts w:hint="eastAsia" w:ascii="宋体" w:hAnsi="宋体" w:cs="宋体"/>
          <w:sz w:val="24"/>
        </w:rPr>
      </w:pPr>
      <w:r>
        <w:rPr>
          <w:rFonts w:hint="eastAsia" w:ascii="宋体" w:hAnsi="宋体" w:cs="宋体"/>
          <w:sz w:val="24"/>
        </w:rPr>
        <w:t>电话：028-85893078</w:t>
      </w:r>
    </w:p>
    <w:p w14:paraId="06667570">
      <w:pPr>
        <w:pageBreakBefore w:val="0"/>
        <w:kinsoku/>
        <w:wordWrap/>
        <w:overflowPunct/>
        <w:topLinePunct w:val="0"/>
        <w:bidi w:val="0"/>
        <w:adjustRightInd/>
        <w:snapToGrid/>
        <w:rPr>
          <w:rFonts w:hint="eastAsia" w:ascii="宋体" w:hAnsi="宋体" w:eastAsia="宋体" w:cs="宋体"/>
          <w:lang w:eastAsia="zh-CN"/>
        </w:rPr>
      </w:pPr>
    </w:p>
    <w:p w14:paraId="64D9E05D">
      <w:pPr>
        <w:pStyle w:val="6"/>
        <w:pageBreakBefore w:val="0"/>
        <w:kinsoku/>
        <w:wordWrap/>
        <w:overflowPunct/>
        <w:topLinePunct w:val="0"/>
        <w:bidi w:val="0"/>
        <w:adjustRightInd/>
        <w:snapToGrid/>
        <w:rPr>
          <w:rFonts w:hint="eastAsia" w:ascii="宋体" w:hAnsi="宋体" w:eastAsia="宋体" w:cs="宋体"/>
          <w:lang w:eastAsia="zh-CN"/>
        </w:rPr>
      </w:pPr>
    </w:p>
    <w:p w14:paraId="52BB02AC">
      <w:pPr>
        <w:pageBreakBefore w:val="0"/>
        <w:kinsoku/>
        <w:wordWrap/>
        <w:overflowPunct/>
        <w:topLinePunct w:val="0"/>
        <w:bidi w:val="0"/>
        <w:adjustRightInd/>
        <w:snapToGrid/>
        <w:rPr>
          <w:rFonts w:hint="eastAsia" w:ascii="宋体" w:hAnsi="宋体" w:eastAsia="宋体" w:cs="宋体"/>
          <w:lang w:eastAsia="zh-CN"/>
        </w:rPr>
      </w:pPr>
    </w:p>
    <w:p w14:paraId="6D30950B">
      <w:pPr>
        <w:pageBreakBefore w:val="0"/>
        <w:kinsoku/>
        <w:wordWrap/>
        <w:overflowPunct/>
        <w:topLinePunct w:val="0"/>
        <w:bidi w:val="0"/>
        <w:adjustRightInd/>
        <w:snapToGrid/>
        <w:spacing w:line="360" w:lineRule="auto"/>
        <w:ind w:firstLine="480" w:firstLineChars="200"/>
        <w:jc w:val="righ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四川川投国际网球中心开发有限责任公司</w:t>
      </w:r>
    </w:p>
    <w:p w14:paraId="77D7B942">
      <w:pPr>
        <w:pageBreakBefore w:val="0"/>
        <w:kinsoku/>
        <w:wordWrap/>
        <w:overflowPunct/>
        <w:topLinePunct w:val="0"/>
        <w:bidi w:val="0"/>
        <w:adjustRightInd/>
        <w:snapToGrid/>
        <w:spacing w:line="360" w:lineRule="auto"/>
        <w:ind w:firstLine="480" w:firstLineChars="200"/>
        <w:jc w:val="center"/>
        <w:rPr>
          <w:rFonts w:hint="eastAsia" w:ascii="宋体" w:hAnsi="宋体" w:eastAsia="宋体" w:cs="宋体"/>
          <w:sz w:val="44"/>
          <w:szCs w:val="44"/>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2025年</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15</w:t>
      </w:r>
      <w:r>
        <w:rPr>
          <w:rFonts w:hint="eastAsia" w:ascii="宋体" w:hAnsi="宋体" w:eastAsia="宋体" w:cs="宋体"/>
          <w:kern w:val="2"/>
          <w:sz w:val="24"/>
          <w:szCs w:val="24"/>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18030">
    <w:altName w:val="微软雅黑"/>
    <w:panose1 w:val="020B0604020202020204"/>
    <w:charset w:val="00"/>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YWZhOWEyNmZmNGU4ZDYxOTkzMTFmODMzN2JlY2UifQ=="/>
    <w:docVar w:name="KSO_WPS_MARK_KEY" w:val="28102570-3888-4551-9bf2-760c943aaae8"/>
  </w:docVars>
  <w:rsids>
    <w:rsidRoot w:val="65BA4F18"/>
    <w:rsid w:val="11542DB6"/>
    <w:rsid w:val="25F8628C"/>
    <w:rsid w:val="2CE46EA1"/>
    <w:rsid w:val="2D3F457D"/>
    <w:rsid w:val="364C3692"/>
    <w:rsid w:val="37154C0A"/>
    <w:rsid w:val="39A30C17"/>
    <w:rsid w:val="3F734A18"/>
    <w:rsid w:val="408277C2"/>
    <w:rsid w:val="45434FF7"/>
    <w:rsid w:val="47B56720"/>
    <w:rsid w:val="4D52666A"/>
    <w:rsid w:val="4FCE076D"/>
    <w:rsid w:val="536D280D"/>
    <w:rsid w:val="563B6FEB"/>
    <w:rsid w:val="5EA63F72"/>
    <w:rsid w:val="65BA4F18"/>
    <w:rsid w:val="7019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index 8"/>
    <w:basedOn w:val="1"/>
    <w:next w:val="1"/>
    <w:qFormat/>
    <w:uiPriority w:val="0"/>
    <w:pPr>
      <w:ind w:left="2940"/>
      <w:jc w:val="center"/>
    </w:pPr>
  </w:style>
  <w:style w:type="paragraph" w:styleId="6">
    <w:name w:val="Body Text"/>
    <w:basedOn w:val="1"/>
    <w:next w:val="7"/>
    <w:qFormat/>
    <w:uiPriority w:val="0"/>
    <w:rPr>
      <w:rFonts w:eastAsia="仿宋_GB2312"/>
      <w:sz w:val="32"/>
    </w:rPr>
  </w:style>
  <w:style w:type="paragraph" w:styleId="7">
    <w:name w:val="Body Text First Indent"/>
    <w:basedOn w:val="6"/>
    <w:unhideWhenUsed/>
    <w:qFormat/>
    <w:uiPriority w:val="0"/>
    <w:pPr>
      <w:spacing w:line="440" w:lineRule="exact"/>
      <w:ind w:firstLine="420" w:firstLineChars="200"/>
    </w:pPr>
    <w:rPr>
      <w:szCs w:val="20"/>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666666"/>
      <w:u w:val="none"/>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1740</Words>
  <Characters>2126</Characters>
  <Lines>0</Lines>
  <Paragraphs>0</Paragraphs>
  <TotalTime>0</TotalTime>
  <ScaleCrop>false</ScaleCrop>
  <LinksUpToDate>false</LinksUpToDate>
  <CharactersWithSpaces>2166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2023-12-10T10:32:00Z</dcterms:created>
  <dc:creator>Mary</dc:creator>
  <cp:lastModifiedBy>HP</cp:lastModifiedBy>
  <dcterms:modified xsi:type="dcterms:W3CDTF">2025-05-15T08:21:38Z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910FF1044EA84E428290ED07C2843D38_11</vt:lpwstr>
  </property>
  <property fmtid="{D5CDD505-2E9C-101B-9397-08002B2CF9AE}" pid="4" name="KSOTemplateDocerSaveRecord">
    <vt:lpwstr>eyJoZGlkIjoiOTY2YWZhOWEyNmZmNGU4ZDYxOTkzMTFmODMzN2JlY2UifQ==</vt:lpwstr>
  </property>
</Properties>
</file>