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61378">
      <w:pPr>
        <w:pStyle w:val="4"/>
        <w:keepNext/>
        <w:keepLines/>
        <w:pageBreakBefore w:val="0"/>
        <w:widowControl w:val="0"/>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b/>
          <w:bCs/>
          <w:sz w:val="44"/>
          <w:szCs w:val="44"/>
          <w:lang w:eastAsia="zh-CN"/>
        </w:rPr>
      </w:pPr>
      <w:bookmarkStart w:id="0" w:name="_Toc11488"/>
      <w:bookmarkStart w:id="1" w:name="_Toc11202_WPSOffice_Level2"/>
      <w:bookmarkStart w:id="2" w:name="_Toc29623_WPSOffice_Level2"/>
      <w:bookmarkStart w:id="3" w:name="_Toc29517_WPSOffice_Level2"/>
      <w:r>
        <w:rPr>
          <w:rFonts w:hint="eastAsia" w:ascii="宋体" w:hAnsi="宋体" w:eastAsia="宋体" w:cs="宋体"/>
          <w:b/>
          <w:bCs/>
          <w:sz w:val="44"/>
          <w:szCs w:val="44"/>
        </w:rPr>
        <w:t>2025年四川川投国际网球中心系列国际网球赛事安保服务项目比选</w:t>
      </w:r>
      <w:r>
        <w:rPr>
          <w:rFonts w:hint="eastAsia" w:ascii="宋体" w:hAnsi="宋体" w:cs="宋体"/>
          <w:b/>
          <w:bCs/>
          <w:sz w:val="44"/>
          <w:szCs w:val="44"/>
          <w:lang w:val="en-US" w:eastAsia="zh-CN"/>
        </w:rPr>
        <w:t>公告</w:t>
      </w:r>
    </w:p>
    <w:p w14:paraId="7CC83543">
      <w:pPr>
        <w:pStyle w:val="4"/>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宋体" w:hAnsi="宋体" w:cs="宋体"/>
          <w:sz w:val="28"/>
          <w:szCs w:val="28"/>
        </w:rPr>
      </w:pPr>
    </w:p>
    <w:bookmarkEnd w:id="0"/>
    <w:bookmarkEnd w:id="1"/>
    <w:bookmarkEnd w:id="2"/>
    <w:bookmarkEnd w:id="3"/>
    <w:p w14:paraId="78619BBE">
      <w:pPr>
        <w:spacing w:line="360" w:lineRule="auto"/>
        <w:ind w:firstLine="482" w:firstLineChars="200"/>
        <w:rPr>
          <w:rFonts w:ascii="宋体" w:hAnsi="宋体"/>
          <w:b/>
          <w:sz w:val="24"/>
        </w:rPr>
      </w:pPr>
      <w:r>
        <w:rPr>
          <w:rFonts w:hint="eastAsia" w:ascii="宋体" w:hAnsi="宋体"/>
          <w:b/>
          <w:sz w:val="24"/>
        </w:rPr>
        <w:t>一、比选条件</w:t>
      </w:r>
    </w:p>
    <w:p w14:paraId="49D0F053">
      <w:pPr>
        <w:spacing w:line="360" w:lineRule="auto"/>
        <w:ind w:firstLine="480" w:firstLineChars="200"/>
        <w:rPr>
          <w:rFonts w:ascii="宋体" w:hAnsi="宋体"/>
          <w:sz w:val="24"/>
        </w:rPr>
      </w:pPr>
      <w:r>
        <w:rPr>
          <w:rFonts w:hint="eastAsia" w:ascii="宋体" w:hAnsi="宋体"/>
          <w:sz w:val="24"/>
        </w:rPr>
        <w:t>川投国网公司根据经营需要，拟对2025年四川川投国际网球中心系列国际网球赛事安保服务项目进行公开比选。</w:t>
      </w:r>
    </w:p>
    <w:p w14:paraId="75595AFA">
      <w:pPr>
        <w:spacing w:line="360" w:lineRule="auto"/>
        <w:ind w:firstLine="482" w:firstLineChars="200"/>
        <w:rPr>
          <w:rFonts w:ascii="宋体" w:hAnsi="宋体"/>
          <w:b/>
          <w:sz w:val="24"/>
        </w:rPr>
      </w:pPr>
      <w:r>
        <w:rPr>
          <w:rFonts w:hint="eastAsia" w:ascii="宋体" w:hAnsi="宋体"/>
          <w:b/>
          <w:sz w:val="24"/>
        </w:rPr>
        <w:t>二、项目概况与比选范围</w:t>
      </w:r>
    </w:p>
    <w:p w14:paraId="4B5CA24F">
      <w:pPr>
        <w:spacing w:line="360" w:lineRule="auto"/>
        <w:ind w:firstLine="480" w:firstLineChars="200"/>
        <w:rPr>
          <w:rFonts w:ascii="宋体" w:hAnsi="宋体"/>
          <w:sz w:val="24"/>
        </w:rPr>
      </w:pPr>
      <w:r>
        <w:rPr>
          <w:rFonts w:hint="eastAsia" w:ascii="宋体" w:hAnsi="宋体"/>
          <w:sz w:val="24"/>
        </w:rPr>
        <w:t>1.项目概况: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6555"/>
      </w:tblGrid>
      <w:tr w14:paraId="6614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177" w:type="dxa"/>
            <w:noWrap w:val="0"/>
            <w:vAlign w:val="top"/>
          </w:tcPr>
          <w:p w14:paraId="0BDDECD1">
            <w:pPr>
              <w:spacing w:line="360" w:lineRule="auto"/>
              <w:jc w:val="center"/>
              <w:rPr>
                <w:rFonts w:ascii="宋体" w:hAnsi="宋体"/>
                <w:sz w:val="24"/>
              </w:rPr>
            </w:pPr>
            <w:r>
              <w:rPr>
                <w:rFonts w:hint="eastAsia" w:ascii="宋体" w:hAnsi="宋体"/>
                <w:sz w:val="24"/>
              </w:rPr>
              <w:t>比选人</w:t>
            </w:r>
          </w:p>
        </w:tc>
        <w:tc>
          <w:tcPr>
            <w:tcW w:w="6555" w:type="dxa"/>
            <w:noWrap w:val="0"/>
            <w:vAlign w:val="top"/>
          </w:tcPr>
          <w:p w14:paraId="39FF6901">
            <w:pPr>
              <w:spacing w:line="360" w:lineRule="auto"/>
              <w:jc w:val="center"/>
              <w:rPr>
                <w:rFonts w:ascii="宋体" w:hAnsi="宋体"/>
                <w:sz w:val="24"/>
              </w:rPr>
            </w:pPr>
            <w:r>
              <w:rPr>
                <w:rFonts w:hint="eastAsia" w:ascii="宋体" w:hAnsi="宋体"/>
                <w:sz w:val="24"/>
              </w:rPr>
              <w:t>四川川投国际网球中心开发有限责任公司</w:t>
            </w:r>
          </w:p>
        </w:tc>
      </w:tr>
      <w:tr w14:paraId="7F13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177" w:type="dxa"/>
            <w:noWrap w:val="0"/>
            <w:vAlign w:val="top"/>
          </w:tcPr>
          <w:p w14:paraId="4F11DDD0">
            <w:pPr>
              <w:spacing w:line="360" w:lineRule="auto"/>
              <w:jc w:val="center"/>
              <w:rPr>
                <w:rFonts w:ascii="宋体" w:hAnsi="宋体"/>
                <w:sz w:val="24"/>
              </w:rPr>
            </w:pPr>
            <w:r>
              <w:rPr>
                <w:rFonts w:hint="eastAsia" w:ascii="宋体" w:hAnsi="宋体"/>
                <w:sz w:val="24"/>
              </w:rPr>
              <w:t>项目名称</w:t>
            </w:r>
          </w:p>
        </w:tc>
        <w:tc>
          <w:tcPr>
            <w:tcW w:w="6555" w:type="dxa"/>
            <w:noWrap w:val="0"/>
            <w:vAlign w:val="top"/>
          </w:tcPr>
          <w:p w14:paraId="33120605">
            <w:pPr>
              <w:spacing w:line="360" w:lineRule="auto"/>
              <w:jc w:val="center"/>
              <w:rPr>
                <w:rFonts w:hint="eastAsia" w:ascii="宋体" w:hAnsi="宋体"/>
                <w:sz w:val="24"/>
              </w:rPr>
            </w:pPr>
            <w:r>
              <w:rPr>
                <w:rFonts w:hint="eastAsia" w:ascii="宋体" w:hAnsi="宋体"/>
                <w:sz w:val="24"/>
              </w:rPr>
              <w:t>2025年四川川投国际网球中心系列国际网球赛事安保服务</w:t>
            </w:r>
          </w:p>
        </w:tc>
      </w:tr>
      <w:tr w14:paraId="4D3C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177" w:type="dxa"/>
            <w:noWrap w:val="0"/>
            <w:vAlign w:val="top"/>
          </w:tcPr>
          <w:p w14:paraId="5EC5953A">
            <w:pPr>
              <w:spacing w:line="360" w:lineRule="auto"/>
              <w:jc w:val="center"/>
              <w:rPr>
                <w:rFonts w:hint="eastAsia" w:ascii="宋体" w:hAnsi="宋体"/>
                <w:sz w:val="24"/>
              </w:rPr>
            </w:pPr>
            <w:r>
              <w:rPr>
                <w:rFonts w:hint="eastAsia" w:ascii="宋体" w:hAnsi="宋体"/>
                <w:sz w:val="24"/>
              </w:rPr>
              <w:t>安保人员使用需求</w:t>
            </w:r>
          </w:p>
        </w:tc>
        <w:tc>
          <w:tcPr>
            <w:tcW w:w="6555" w:type="dxa"/>
            <w:noWrap w:val="0"/>
            <w:vAlign w:val="top"/>
          </w:tcPr>
          <w:p w14:paraId="63C96316">
            <w:pPr>
              <w:tabs>
                <w:tab w:val="left" w:pos="1953"/>
              </w:tabs>
              <w:spacing w:line="360" w:lineRule="auto"/>
              <w:jc w:val="left"/>
              <w:rPr>
                <w:rFonts w:ascii="宋体" w:hAnsi="宋体"/>
                <w:sz w:val="24"/>
              </w:rPr>
            </w:pPr>
            <w:r>
              <w:rPr>
                <w:rFonts w:hint="eastAsia" w:ascii="宋体" w:hAnsi="宋体"/>
                <w:sz w:val="24"/>
              </w:rPr>
              <w:t>预计普通安保人员使用量为1600人次，预计单日8小时外服务时间1000小时。</w:t>
            </w:r>
          </w:p>
        </w:tc>
      </w:tr>
      <w:tr w14:paraId="33DD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177" w:type="dxa"/>
            <w:noWrap w:val="0"/>
            <w:vAlign w:val="top"/>
          </w:tcPr>
          <w:p w14:paraId="27242919">
            <w:pPr>
              <w:spacing w:line="360" w:lineRule="auto"/>
              <w:jc w:val="center"/>
              <w:rPr>
                <w:rFonts w:hint="eastAsia" w:ascii="宋体" w:hAnsi="宋体"/>
                <w:sz w:val="24"/>
              </w:rPr>
            </w:pPr>
            <w:r>
              <w:rPr>
                <w:rFonts w:hint="eastAsia" w:ascii="宋体" w:hAnsi="宋体"/>
                <w:sz w:val="24"/>
              </w:rPr>
              <w:t>单价最高限价</w:t>
            </w:r>
          </w:p>
        </w:tc>
        <w:tc>
          <w:tcPr>
            <w:tcW w:w="6555" w:type="dxa"/>
            <w:noWrap w:val="0"/>
            <w:vAlign w:val="top"/>
          </w:tcPr>
          <w:p w14:paraId="6436D554">
            <w:pPr>
              <w:tabs>
                <w:tab w:val="left" w:pos="1953"/>
              </w:tabs>
              <w:spacing w:line="360" w:lineRule="auto"/>
              <w:jc w:val="left"/>
              <w:rPr>
                <w:rFonts w:ascii="宋体" w:hAnsi="宋体"/>
                <w:sz w:val="24"/>
              </w:rPr>
            </w:pPr>
            <w:r>
              <w:rPr>
                <w:rFonts w:hint="eastAsia" w:ascii="宋体" w:hAnsi="宋体"/>
                <w:sz w:val="24"/>
              </w:rPr>
              <w:t>普通安保人员：单日服务时间在8小时内的，不高于：260元/人/天；单日服务时间超过8小时的，超出部分不高于：15元/人/小时</w:t>
            </w:r>
          </w:p>
        </w:tc>
      </w:tr>
    </w:tbl>
    <w:p w14:paraId="328C1787">
      <w:pPr>
        <w:spacing w:line="360" w:lineRule="auto"/>
        <w:ind w:firstLine="480" w:firstLineChars="200"/>
        <w:rPr>
          <w:rFonts w:ascii="宋体" w:hAnsi="宋体"/>
          <w:sz w:val="24"/>
        </w:rPr>
      </w:pPr>
      <w:r>
        <w:rPr>
          <w:rFonts w:hint="eastAsia" w:ascii="宋体" w:hAnsi="宋体"/>
          <w:sz w:val="24"/>
        </w:rPr>
        <w:t>2.比选内容</w:t>
      </w:r>
    </w:p>
    <w:p w14:paraId="69D95D59">
      <w:pPr>
        <w:spacing w:line="360" w:lineRule="auto"/>
        <w:ind w:firstLine="480" w:firstLineChars="200"/>
        <w:rPr>
          <w:rFonts w:ascii="宋体" w:hAnsi="宋体"/>
          <w:sz w:val="24"/>
        </w:rPr>
      </w:pPr>
      <w:r>
        <w:rPr>
          <w:rFonts w:hint="eastAsia" w:ascii="宋体" w:hAnsi="宋体"/>
          <w:sz w:val="24"/>
        </w:rPr>
        <w:t>响应人为比选人提供2025年四川川投国际网球中心系列国际网球赛事安保服务。</w:t>
      </w:r>
    </w:p>
    <w:p w14:paraId="786143C6">
      <w:pPr>
        <w:spacing w:line="360" w:lineRule="auto"/>
        <w:ind w:firstLine="482" w:firstLineChars="200"/>
        <w:rPr>
          <w:rFonts w:ascii="宋体" w:hAnsi="宋体"/>
          <w:b/>
          <w:sz w:val="24"/>
        </w:rPr>
      </w:pPr>
      <w:r>
        <w:rPr>
          <w:rFonts w:hint="eastAsia" w:ascii="宋体" w:hAnsi="宋体"/>
          <w:b/>
          <w:sz w:val="24"/>
        </w:rPr>
        <w:t>三、响应人资格要求</w:t>
      </w:r>
    </w:p>
    <w:p w14:paraId="3AFF4989">
      <w:pPr>
        <w:spacing w:line="360" w:lineRule="auto"/>
        <w:ind w:firstLine="480" w:firstLineChars="200"/>
        <w:rPr>
          <w:rFonts w:hint="eastAsia" w:ascii="宋体" w:hAnsi="宋体"/>
          <w:sz w:val="24"/>
        </w:rPr>
      </w:pPr>
      <w:r>
        <w:rPr>
          <w:rFonts w:hint="eastAsia" w:ascii="宋体" w:hAnsi="宋体"/>
          <w:sz w:val="24"/>
        </w:rPr>
        <w:t>1.响应人具有独立法人资格，相应的经营范围，并提供合法有效的营业执照,具有相关部门颁发的保安服务许可证。</w:t>
      </w:r>
    </w:p>
    <w:p w14:paraId="6773B9F3">
      <w:pPr>
        <w:spacing w:line="360" w:lineRule="auto"/>
        <w:ind w:firstLine="480" w:firstLineChars="200"/>
        <w:rPr>
          <w:rFonts w:hint="eastAsia" w:ascii="宋体" w:hAnsi="宋体"/>
          <w:sz w:val="24"/>
        </w:rPr>
      </w:pPr>
      <w:r>
        <w:rPr>
          <w:rFonts w:hint="eastAsia" w:ascii="宋体" w:hAnsi="宋体"/>
          <w:sz w:val="24"/>
        </w:rPr>
        <w:t>2.最近两年财务状况良好，未处于财产被接管、冻结、破产状态（提供承诺函）。</w:t>
      </w:r>
    </w:p>
    <w:p w14:paraId="41BE9346">
      <w:pPr>
        <w:spacing w:line="360" w:lineRule="auto"/>
        <w:ind w:firstLine="480" w:firstLineChars="200"/>
        <w:rPr>
          <w:rFonts w:hint="eastAsia" w:ascii="宋体" w:hAnsi="宋体"/>
          <w:sz w:val="24"/>
        </w:rPr>
      </w:pPr>
      <w:r>
        <w:rPr>
          <w:rFonts w:hint="eastAsia" w:ascii="宋体" w:hAnsi="宋体"/>
          <w:sz w:val="24"/>
        </w:rPr>
        <w:t>3.信誉良好，最近</w:t>
      </w:r>
      <w:r>
        <w:rPr>
          <w:rFonts w:hint="eastAsia" w:ascii="宋体" w:hAnsi="宋体"/>
          <w:sz w:val="24"/>
          <w:lang w:eastAsia="zh-Hans"/>
        </w:rPr>
        <w:t>三</w:t>
      </w:r>
      <w:r>
        <w:rPr>
          <w:rFonts w:hint="eastAsia" w:ascii="宋体" w:hAnsi="宋体"/>
          <w:sz w:val="24"/>
        </w:rPr>
        <w:t>年无违法违规行为，无行业处罚、惩戒等不良执业记录及不良反映</w:t>
      </w:r>
      <w:r>
        <w:rPr>
          <w:rFonts w:ascii="宋体" w:hAnsi="宋体"/>
          <w:sz w:val="24"/>
        </w:rPr>
        <w:t>（</w:t>
      </w:r>
      <w:r>
        <w:rPr>
          <w:rFonts w:hint="eastAsia" w:ascii="宋体" w:hAnsi="宋体"/>
          <w:sz w:val="24"/>
        </w:rPr>
        <w:t>提供承诺函）。</w:t>
      </w:r>
    </w:p>
    <w:p w14:paraId="2462B8C3">
      <w:pPr>
        <w:spacing w:line="360" w:lineRule="auto"/>
        <w:ind w:firstLine="480" w:firstLineChars="200"/>
        <w:rPr>
          <w:rFonts w:ascii="宋体" w:hAnsi="宋体"/>
          <w:sz w:val="24"/>
        </w:rPr>
      </w:pPr>
      <w:r>
        <w:rPr>
          <w:rFonts w:hint="eastAsia" w:ascii="宋体" w:hAnsi="宋体"/>
          <w:sz w:val="24"/>
        </w:rPr>
        <w:t>4.</w:t>
      </w:r>
      <w:r>
        <w:rPr>
          <w:rFonts w:hint="eastAsia" w:ascii="宋体" w:hAnsi="宋体"/>
          <w:b/>
          <w:bCs/>
          <w:sz w:val="24"/>
        </w:rPr>
        <w:t>近三年</w:t>
      </w:r>
      <w:r>
        <w:rPr>
          <w:rFonts w:hint="eastAsia" w:ascii="宋体" w:hAnsi="宋体"/>
          <w:b/>
          <w:bCs/>
          <w:sz w:val="24"/>
          <w:lang w:eastAsia="zh-Hans"/>
        </w:rPr>
        <w:t>未受到过</w:t>
      </w:r>
      <w:r>
        <w:rPr>
          <w:rFonts w:hint="eastAsia" w:ascii="宋体" w:hAnsi="宋体"/>
          <w:b/>
          <w:bCs/>
          <w:sz w:val="24"/>
        </w:rPr>
        <w:t>行政处罚</w:t>
      </w:r>
      <w:r>
        <w:rPr>
          <w:rFonts w:ascii="宋体" w:hAnsi="宋体"/>
          <w:sz w:val="24"/>
        </w:rPr>
        <w:t>（</w:t>
      </w:r>
      <w:r>
        <w:rPr>
          <w:rFonts w:hint="eastAsia" w:ascii="宋体" w:hAnsi="宋体"/>
          <w:sz w:val="24"/>
          <w:lang w:eastAsia="zh-Hans"/>
        </w:rPr>
        <w:t>提供</w:t>
      </w:r>
      <w:r>
        <w:rPr>
          <w:rFonts w:hint="eastAsia" w:ascii="宋体" w:hAnsi="宋体" w:cs="仿宋_GB2312"/>
          <w:b/>
          <w:bCs w:val="0"/>
          <w:sz w:val="24"/>
          <w:u w:val="single"/>
        </w:rPr>
        <w:t>“国家企业信用信息公示系统”</w:t>
      </w:r>
      <w:r>
        <w:rPr>
          <w:rFonts w:hint="eastAsia" w:ascii="宋体" w:hAnsi="宋体" w:cs="仿宋_GB2312"/>
          <w:b/>
          <w:bCs w:val="0"/>
          <w:sz w:val="24"/>
          <w:u w:val="single"/>
        </w:rPr>
        <w:fldChar w:fldCharType="begin"/>
      </w:r>
      <w:r>
        <w:rPr>
          <w:rFonts w:hint="eastAsia" w:ascii="宋体" w:hAnsi="宋体" w:cs="仿宋_GB2312"/>
          <w:b/>
          <w:bCs w:val="0"/>
          <w:sz w:val="24"/>
          <w:u w:val="single"/>
        </w:rPr>
        <w:instrText xml:space="preserve"> HYPERLINK "https://www.gsxt.gov.cn/index.html/" </w:instrText>
      </w:r>
      <w:r>
        <w:rPr>
          <w:rFonts w:hint="eastAsia" w:ascii="宋体" w:hAnsi="宋体" w:cs="仿宋_GB2312"/>
          <w:b/>
          <w:bCs w:val="0"/>
          <w:sz w:val="24"/>
          <w:u w:val="single"/>
        </w:rPr>
        <w:fldChar w:fldCharType="separate"/>
      </w:r>
      <w:r>
        <w:rPr>
          <w:rStyle w:val="12"/>
          <w:rFonts w:hint="eastAsia" w:ascii="宋体" w:hAnsi="宋体" w:cs="仿宋_GB2312"/>
          <w:b/>
          <w:bCs w:val="0"/>
          <w:sz w:val="24"/>
        </w:rPr>
        <w:t>https://www.gsxt.gov.cn/index.html/</w:t>
      </w:r>
      <w:r>
        <w:rPr>
          <w:rFonts w:hint="eastAsia" w:ascii="宋体" w:hAnsi="宋体" w:cs="仿宋_GB2312"/>
          <w:b/>
          <w:bCs w:val="0"/>
          <w:sz w:val="24"/>
          <w:u w:val="single"/>
        </w:rPr>
        <w:fldChar w:fldCharType="end"/>
      </w:r>
      <w:r>
        <w:rPr>
          <w:rFonts w:hint="eastAsia" w:ascii="宋体" w:hAnsi="宋体" w:cs="仿宋_GB2312"/>
          <w:bCs/>
          <w:sz w:val="24"/>
        </w:rPr>
        <w:t>下载的最新企业信用信息公示</w:t>
      </w:r>
      <w:r>
        <w:rPr>
          <w:rFonts w:hint="eastAsia" w:ascii="宋体" w:hAnsi="宋体" w:cs="仿宋_GB2312"/>
          <w:b/>
          <w:bCs w:val="0"/>
          <w:sz w:val="24"/>
        </w:rPr>
        <w:t>报告或查询截图</w:t>
      </w:r>
      <w:r>
        <w:rPr>
          <w:rFonts w:ascii="宋体" w:hAnsi="宋体"/>
          <w:sz w:val="24"/>
        </w:rPr>
        <w:t>）；</w:t>
      </w:r>
      <w:r>
        <w:rPr>
          <w:rFonts w:hint="eastAsia" w:ascii="宋体" w:hAnsi="宋体"/>
          <w:b/>
          <w:bCs/>
          <w:sz w:val="24"/>
        </w:rPr>
        <w:t>未被人民法院列为失信被执行人</w:t>
      </w:r>
      <w:r>
        <w:rPr>
          <w:rFonts w:ascii="宋体" w:hAnsi="宋体"/>
          <w:sz w:val="24"/>
        </w:rPr>
        <w:t>（</w:t>
      </w:r>
      <w:r>
        <w:rPr>
          <w:rFonts w:hint="eastAsia" w:ascii="宋体" w:hAnsi="宋体"/>
          <w:sz w:val="24"/>
          <w:lang w:eastAsia="zh-Hans"/>
        </w:rPr>
        <w:t>提供</w:t>
      </w:r>
      <w:r>
        <w:rPr>
          <w:rFonts w:hint="eastAsia" w:ascii="宋体" w:hAnsi="宋体" w:cs="宋体-18030"/>
          <w:b/>
          <w:bCs/>
          <w:sz w:val="24"/>
          <w:u w:val="single"/>
        </w:rPr>
        <w:t>“中国执行信息公开网”网站（</w:t>
      </w:r>
      <w:r>
        <w:rPr>
          <w:rFonts w:hint="eastAsia" w:ascii="宋体" w:hAnsi="宋体" w:cs="宋体-18030"/>
          <w:b/>
          <w:bCs/>
          <w:sz w:val="24"/>
          <w:u w:val="single"/>
        </w:rPr>
        <w:fldChar w:fldCharType="begin"/>
      </w:r>
      <w:r>
        <w:rPr>
          <w:rFonts w:hint="eastAsia" w:ascii="宋体" w:hAnsi="宋体" w:cs="宋体-18030"/>
          <w:b/>
          <w:bCs/>
          <w:sz w:val="24"/>
          <w:u w:val="single"/>
        </w:rPr>
        <w:instrText xml:space="preserve"> HYPERLINK "http://zxgk.court.gov.cn/" </w:instrText>
      </w:r>
      <w:r>
        <w:rPr>
          <w:rFonts w:hint="eastAsia" w:ascii="宋体" w:hAnsi="宋体" w:cs="宋体-18030"/>
          <w:b/>
          <w:bCs/>
          <w:sz w:val="24"/>
          <w:u w:val="single"/>
        </w:rPr>
        <w:fldChar w:fldCharType="separate"/>
      </w:r>
      <w:r>
        <w:rPr>
          <w:rStyle w:val="12"/>
          <w:rFonts w:hint="eastAsia" w:ascii="宋体" w:hAnsi="宋体" w:cs="宋体-18030"/>
          <w:b/>
          <w:bCs/>
          <w:sz w:val="24"/>
        </w:rPr>
        <w:t>zxgk.court.gov.cn/</w:t>
      </w:r>
      <w:r>
        <w:rPr>
          <w:rFonts w:hint="eastAsia" w:ascii="宋体" w:hAnsi="宋体" w:cs="宋体-18030"/>
          <w:b/>
          <w:bCs/>
          <w:sz w:val="24"/>
          <w:u w:val="single"/>
        </w:rPr>
        <w:fldChar w:fldCharType="end"/>
      </w:r>
      <w:r>
        <w:rPr>
          <w:rFonts w:hint="eastAsia" w:ascii="宋体" w:hAnsi="宋体" w:cs="宋体-18030"/>
          <w:b/>
          <w:bCs/>
          <w:sz w:val="24"/>
          <w:u w:val="single"/>
        </w:rPr>
        <w:t>）</w:t>
      </w:r>
      <w:r>
        <w:rPr>
          <w:rFonts w:hint="eastAsia" w:ascii="宋体" w:hAnsi="宋体" w:cs="宋体-18030"/>
          <w:sz w:val="24"/>
        </w:rPr>
        <w:t>最新查询结果</w:t>
      </w:r>
      <w:r>
        <w:rPr>
          <w:rFonts w:hint="eastAsia" w:ascii="宋体" w:hAnsi="宋体" w:cs="宋体-18030"/>
          <w:sz w:val="24"/>
          <w:lang w:eastAsia="zh-Hans"/>
        </w:rPr>
        <w:t>截图</w:t>
      </w:r>
      <w:r>
        <w:rPr>
          <w:rFonts w:ascii="宋体" w:hAnsi="宋体" w:cs="宋体-18030"/>
          <w:sz w:val="24"/>
          <w:lang w:eastAsia="zh-Hans"/>
        </w:rPr>
        <w:t>）</w:t>
      </w:r>
      <w:r>
        <w:rPr>
          <w:rFonts w:hint="eastAsia" w:ascii="宋体" w:hAnsi="宋体"/>
          <w:sz w:val="24"/>
        </w:rPr>
        <w:t>。</w:t>
      </w:r>
      <w:r>
        <w:rPr>
          <w:rFonts w:ascii="宋体" w:hAnsi="宋体"/>
          <w:sz w:val="24"/>
        </w:rPr>
        <w:t xml:space="preserve"> </w:t>
      </w:r>
    </w:p>
    <w:p w14:paraId="69A65A5D">
      <w:pPr>
        <w:spacing w:line="360" w:lineRule="auto"/>
        <w:ind w:firstLine="480" w:firstLineChars="200"/>
        <w:rPr>
          <w:rFonts w:hint="eastAsia" w:ascii="宋体" w:hAnsi="宋体"/>
          <w:sz w:val="24"/>
        </w:rPr>
      </w:pPr>
      <w:r>
        <w:rPr>
          <w:rFonts w:hint="eastAsia" w:ascii="宋体" w:hAnsi="宋体"/>
          <w:sz w:val="24"/>
        </w:rPr>
        <w:t>5.2023年起至今，有完成3项文体类相关活动的专业安保服务类似项目业绩（单项合同金额不低于15万元，需提供有效的合同复印件）</w:t>
      </w:r>
      <w:r>
        <w:rPr>
          <w:rFonts w:hint="eastAsia" w:ascii="宋体" w:hAnsi="宋体"/>
          <w:b/>
          <w:bCs/>
          <w:sz w:val="24"/>
        </w:rPr>
        <w:t>注：</w:t>
      </w:r>
      <w:r>
        <w:rPr>
          <w:rFonts w:hint="eastAsia" w:ascii="宋体" w:hAnsi="宋体" w:cs="宋体"/>
          <w:b/>
          <w:bCs/>
          <w:sz w:val="24"/>
        </w:rPr>
        <w:t>若合同无法体现具体金额，须提供转账凭证等证明材料</w:t>
      </w:r>
      <w:r>
        <w:rPr>
          <w:rFonts w:hint="eastAsia" w:ascii="宋体" w:hAnsi="宋体"/>
          <w:sz w:val="24"/>
        </w:rPr>
        <w:t>。</w:t>
      </w:r>
    </w:p>
    <w:p w14:paraId="3BAD4F0C">
      <w:pPr>
        <w:spacing w:line="360" w:lineRule="auto"/>
        <w:ind w:firstLine="480" w:firstLineChars="200"/>
        <w:rPr>
          <w:rFonts w:hint="eastAsia" w:ascii="宋体" w:hAnsi="宋体"/>
          <w:sz w:val="24"/>
        </w:rPr>
      </w:pPr>
      <w:r>
        <w:rPr>
          <w:rFonts w:hint="eastAsia" w:ascii="宋体" w:hAnsi="宋体"/>
          <w:sz w:val="24"/>
        </w:rPr>
        <w:t>6.省外保安公司需要提供</w:t>
      </w:r>
      <w:r>
        <w:rPr>
          <w:rFonts w:hint="eastAsia" w:ascii="宋体" w:hAnsi="宋体"/>
          <w:sz w:val="24"/>
          <w:lang w:eastAsia="zh-Hans"/>
        </w:rPr>
        <w:t>成都分公司营业执照</w:t>
      </w:r>
      <w:r>
        <w:rPr>
          <w:rFonts w:hint="eastAsia" w:ascii="宋体" w:hAnsi="宋体"/>
          <w:sz w:val="24"/>
        </w:rPr>
        <w:t>或跨区域经营相关许可，并有相应的安保服务业绩</w:t>
      </w:r>
      <w:r>
        <w:rPr>
          <w:rFonts w:ascii="宋体" w:hAnsi="宋体"/>
          <w:sz w:val="24"/>
        </w:rPr>
        <w:t>（</w:t>
      </w:r>
      <w:r>
        <w:rPr>
          <w:rFonts w:hint="eastAsia" w:ascii="宋体" w:hAnsi="宋体"/>
          <w:sz w:val="24"/>
          <w:lang w:eastAsia="zh-Hans"/>
        </w:rPr>
        <w:t>业绩要求同本条第</w:t>
      </w:r>
      <w:r>
        <w:rPr>
          <w:rFonts w:hint="eastAsia" w:ascii="宋体" w:hAnsi="宋体"/>
          <w:sz w:val="24"/>
        </w:rPr>
        <w:t>5</w:t>
      </w:r>
      <w:r>
        <w:rPr>
          <w:rFonts w:hint="eastAsia" w:ascii="宋体" w:hAnsi="宋体"/>
          <w:sz w:val="24"/>
          <w:lang w:eastAsia="zh-Hans"/>
        </w:rPr>
        <w:t>款规定</w:t>
      </w:r>
      <w:r>
        <w:rPr>
          <w:rFonts w:ascii="宋体" w:hAnsi="宋体"/>
          <w:sz w:val="24"/>
        </w:rPr>
        <w:t>）</w:t>
      </w:r>
      <w:r>
        <w:rPr>
          <w:rFonts w:hint="eastAsia" w:ascii="宋体" w:hAnsi="宋体"/>
          <w:sz w:val="24"/>
        </w:rPr>
        <w:t>。</w:t>
      </w:r>
    </w:p>
    <w:p w14:paraId="46EDCA32">
      <w:pPr>
        <w:spacing w:line="360" w:lineRule="auto"/>
        <w:ind w:firstLine="480" w:firstLineChars="200"/>
        <w:rPr>
          <w:rFonts w:hint="eastAsia" w:ascii="宋体" w:hAnsi="宋体"/>
          <w:sz w:val="24"/>
        </w:rPr>
      </w:pPr>
      <w:r>
        <w:rPr>
          <w:rFonts w:hint="eastAsia" w:ascii="宋体" w:hAnsi="宋体"/>
          <w:sz w:val="24"/>
        </w:rPr>
        <w:t>7.有不低于2人的专门团队负责本项目的跟进；</w:t>
      </w:r>
    </w:p>
    <w:p w14:paraId="6FC80787">
      <w:pPr>
        <w:spacing w:line="360" w:lineRule="auto"/>
        <w:ind w:firstLine="480" w:firstLineChars="200"/>
        <w:rPr>
          <w:rFonts w:hint="eastAsia" w:ascii="宋体" w:hAnsi="宋体"/>
          <w:sz w:val="24"/>
        </w:rPr>
      </w:pPr>
      <w:r>
        <w:rPr>
          <w:rFonts w:hint="eastAsia" w:ascii="宋体" w:hAnsi="宋体"/>
          <w:sz w:val="24"/>
        </w:rPr>
        <w:t>8.本次比选不接受联合体投标。</w:t>
      </w:r>
    </w:p>
    <w:p w14:paraId="453F57C9">
      <w:pPr>
        <w:spacing w:line="360" w:lineRule="auto"/>
        <w:ind w:firstLine="482" w:firstLineChars="200"/>
        <w:rPr>
          <w:rFonts w:ascii="宋体" w:hAnsi="宋体"/>
          <w:b/>
          <w:sz w:val="24"/>
        </w:rPr>
      </w:pPr>
      <w:r>
        <w:rPr>
          <w:rFonts w:hint="eastAsia" w:ascii="宋体" w:hAnsi="宋体"/>
          <w:b/>
          <w:sz w:val="24"/>
        </w:rPr>
        <w:t>四、比选文件的获取</w:t>
      </w:r>
    </w:p>
    <w:p w14:paraId="1BDE49AB">
      <w:pPr>
        <w:spacing w:line="360" w:lineRule="auto"/>
        <w:ind w:firstLine="480" w:firstLineChars="200"/>
        <w:rPr>
          <w:rFonts w:hint="eastAsia" w:ascii="宋体" w:hAnsi="宋体" w:cs="宋体"/>
          <w:sz w:val="24"/>
        </w:rPr>
      </w:pPr>
      <w:r>
        <w:rPr>
          <w:rFonts w:hint="eastAsia" w:ascii="宋体" w:hAnsi="宋体" w:cs="宋体"/>
          <w:sz w:val="24"/>
        </w:rPr>
        <w:t>响应人请于</w:t>
      </w:r>
      <w:r>
        <w:rPr>
          <w:rFonts w:hint="eastAsia" w:ascii="宋体" w:hAnsi="宋体" w:cs="宋体"/>
          <w:b/>
          <w:bCs/>
          <w:sz w:val="24"/>
          <w:highlight w:val="none"/>
          <w:u w:val="single"/>
        </w:rPr>
        <w:t>2025年</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12</w:t>
      </w:r>
      <w:r>
        <w:rPr>
          <w:rFonts w:hint="eastAsia" w:ascii="宋体" w:hAnsi="宋体" w:cs="宋体"/>
          <w:b/>
          <w:bCs/>
          <w:sz w:val="24"/>
          <w:highlight w:val="none"/>
          <w:u w:val="single"/>
        </w:rPr>
        <w:t>日至2025年</w:t>
      </w:r>
      <w:r>
        <w:rPr>
          <w:rFonts w:hint="eastAsia" w:ascii="宋体" w:hAnsi="宋体" w:cs="宋体"/>
          <w:b/>
          <w:bCs/>
          <w:sz w:val="24"/>
          <w:highlight w:val="none"/>
          <w:u w:val="single"/>
          <w:lang w:val="en-US" w:eastAsia="zh-CN"/>
        </w:rPr>
        <w:t>5</w:t>
      </w:r>
      <w:r>
        <w:rPr>
          <w:rFonts w:hint="eastAsia" w:ascii="宋体" w:hAnsi="宋体" w:cs="宋体"/>
          <w:b/>
          <w:bCs/>
          <w:sz w:val="24"/>
          <w:highlight w:val="none"/>
          <w:u w:val="single"/>
        </w:rPr>
        <w:t>月</w:t>
      </w:r>
      <w:r>
        <w:rPr>
          <w:rFonts w:hint="eastAsia" w:ascii="宋体" w:hAnsi="宋体" w:cs="宋体"/>
          <w:b/>
          <w:bCs/>
          <w:sz w:val="24"/>
          <w:highlight w:val="none"/>
          <w:u w:val="single"/>
          <w:lang w:val="en-US" w:eastAsia="zh-CN"/>
        </w:rPr>
        <w:t>19</w:t>
      </w:r>
      <w:r>
        <w:rPr>
          <w:rFonts w:hint="eastAsia" w:ascii="宋体" w:hAnsi="宋体" w:cs="宋体"/>
          <w:b/>
          <w:bCs/>
          <w:sz w:val="24"/>
          <w:highlight w:val="none"/>
          <w:u w:val="single"/>
        </w:rPr>
        <w:t>日</w:t>
      </w:r>
      <w:r>
        <w:rPr>
          <w:rFonts w:hint="eastAsia" w:ascii="宋体" w:hAnsi="宋体" w:cs="宋体"/>
          <w:b/>
          <w:bCs/>
          <w:sz w:val="24"/>
          <w:highlight w:val="none"/>
          <w:u w:val="single"/>
          <w:lang w:val="en-US" w:eastAsia="zh-CN"/>
        </w:rPr>
        <w:t>17</w:t>
      </w:r>
      <w:r>
        <w:rPr>
          <w:rFonts w:hint="eastAsia" w:ascii="宋体" w:hAnsi="宋体" w:cs="宋体"/>
          <w:b/>
          <w:bCs/>
          <w:sz w:val="24"/>
          <w:highlight w:val="none"/>
          <w:u w:val="single"/>
        </w:rPr>
        <w:t>时</w:t>
      </w:r>
      <w:r>
        <w:rPr>
          <w:rFonts w:hint="eastAsia" w:ascii="宋体" w:hAnsi="宋体" w:cs="宋体"/>
          <w:b/>
          <w:bCs/>
          <w:sz w:val="24"/>
          <w:highlight w:val="none"/>
          <w:u w:val="single"/>
          <w:lang w:val="en-US" w:eastAsia="zh-CN"/>
        </w:rPr>
        <w:t>00分</w:t>
      </w:r>
      <w:r>
        <w:rPr>
          <w:rFonts w:hint="eastAsia" w:ascii="宋体" w:hAnsi="宋体" w:cs="宋体"/>
          <w:sz w:val="24"/>
        </w:rPr>
        <w:t>（北京时间，下同），通过</w:t>
      </w:r>
      <w:r>
        <w:rPr>
          <w:rFonts w:hint="eastAsia" w:ascii="宋体" w:hAnsi="宋体" w:cs="宋体"/>
          <w:b/>
          <w:bCs/>
          <w:sz w:val="24"/>
        </w:rPr>
        <w:t>天府阳光采购服务平台（http://scig.tfygcgfw.com/）</w:t>
      </w:r>
      <w:r>
        <w:rPr>
          <w:rFonts w:hint="eastAsia" w:ascii="宋体" w:hAnsi="宋体" w:cs="宋体"/>
          <w:sz w:val="24"/>
        </w:rPr>
        <w:t>报名获取比选文件。</w:t>
      </w:r>
    </w:p>
    <w:p w14:paraId="39E7095E">
      <w:pPr>
        <w:spacing w:line="360" w:lineRule="auto"/>
        <w:ind w:firstLine="482" w:firstLineChars="200"/>
        <w:rPr>
          <w:rFonts w:ascii="宋体" w:hAnsi="宋体"/>
          <w:b/>
          <w:sz w:val="24"/>
        </w:rPr>
      </w:pPr>
      <w:r>
        <w:rPr>
          <w:rFonts w:hint="eastAsia" w:ascii="宋体" w:hAnsi="宋体"/>
          <w:b/>
          <w:sz w:val="24"/>
        </w:rPr>
        <w:t>五、</w:t>
      </w:r>
      <w:r>
        <w:rPr>
          <w:rFonts w:hint="eastAsia" w:ascii="宋体" w:hAnsi="宋体"/>
          <w:b/>
          <w:sz w:val="24"/>
          <w:lang w:val="en-US" w:eastAsia="zh-CN"/>
        </w:rPr>
        <w:t>响应</w:t>
      </w:r>
      <w:r>
        <w:rPr>
          <w:rFonts w:hint="eastAsia" w:ascii="宋体" w:hAnsi="宋体"/>
          <w:b/>
          <w:sz w:val="24"/>
        </w:rPr>
        <w:t>文件的递交</w:t>
      </w:r>
    </w:p>
    <w:p w14:paraId="16B4EC72">
      <w:pPr>
        <w:spacing w:line="360" w:lineRule="auto"/>
        <w:ind w:firstLine="480" w:firstLineChars="200"/>
        <w:rPr>
          <w:rFonts w:ascii="宋体" w:hAnsi="宋体"/>
          <w:color w:val="000000"/>
          <w:sz w:val="24"/>
        </w:rPr>
      </w:pPr>
      <w:r>
        <w:rPr>
          <w:rFonts w:hint="eastAsia" w:ascii="宋体" w:hAnsi="宋体"/>
          <w:sz w:val="24"/>
        </w:rPr>
        <w:t>1.</w:t>
      </w:r>
      <w:r>
        <w:rPr>
          <w:rFonts w:hint="eastAsia" w:ascii="宋体" w:hAnsi="宋体"/>
          <w:sz w:val="24"/>
          <w:lang w:val="en-US" w:eastAsia="zh-CN"/>
        </w:rPr>
        <w:t>响应</w:t>
      </w:r>
      <w:r>
        <w:rPr>
          <w:rFonts w:hint="eastAsia" w:ascii="宋体" w:hAnsi="宋体"/>
          <w:color w:val="000000"/>
          <w:sz w:val="24"/>
        </w:rPr>
        <w:t>文件</w:t>
      </w:r>
      <w:r>
        <w:rPr>
          <w:rFonts w:hint="eastAsia" w:ascii="宋体" w:hAnsi="宋体"/>
          <w:b/>
          <w:bCs/>
          <w:color w:val="000000"/>
          <w:sz w:val="24"/>
          <w:highlight w:val="none"/>
          <w:u w:val="single"/>
        </w:rPr>
        <w:t>递交时间为2025年</w:t>
      </w:r>
      <w:r>
        <w:rPr>
          <w:rFonts w:hint="eastAsia" w:ascii="宋体" w:hAnsi="宋体"/>
          <w:b/>
          <w:bCs/>
          <w:color w:val="000000"/>
          <w:sz w:val="24"/>
          <w:highlight w:val="none"/>
          <w:u w:val="single"/>
          <w:lang w:val="en-US" w:eastAsia="zh-CN"/>
        </w:rPr>
        <w:t>5</w:t>
      </w:r>
      <w:r>
        <w:rPr>
          <w:rFonts w:hint="eastAsia" w:ascii="宋体" w:hAnsi="宋体"/>
          <w:b/>
          <w:bCs/>
          <w:color w:val="000000"/>
          <w:sz w:val="24"/>
          <w:highlight w:val="none"/>
          <w:u w:val="single"/>
        </w:rPr>
        <w:t>月</w:t>
      </w:r>
      <w:r>
        <w:rPr>
          <w:rFonts w:hint="eastAsia" w:ascii="宋体" w:hAnsi="宋体"/>
          <w:b/>
          <w:bCs/>
          <w:color w:val="000000"/>
          <w:sz w:val="24"/>
          <w:highlight w:val="none"/>
          <w:u w:val="single"/>
          <w:lang w:val="en-US" w:eastAsia="zh-CN"/>
        </w:rPr>
        <w:t>21</w:t>
      </w:r>
      <w:r>
        <w:rPr>
          <w:rFonts w:hint="eastAsia" w:ascii="宋体" w:hAnsi="宋体"/>
          <w:b/>
          <w:bCs/>
          <w:color w:val="000000"/>
          <w:sz w:val="24"/>
          <w:highlight w:val="none"/>
          <w:u w:val="single"/>
        </w:rPr>
        <w:t>日</w:t>
      </w:r>
      <w:r>
        <w:rPr>
          <w:rFonts w:hint="eastAsia" w:ascii="宋体" w:hAnsi="宋体"/>
          <w:b/>
          <w:bCs/>
          <w:color w:val="000000"/>
          <w:sz w:val="24"/>
          <w:highlight w:val="none"/>
          <w:u w:val="single"/>
          <w:lang w:val="en-US" w:eastAsia="zh-CN"/>
        </w:rPr>
        <w:t>14</w:t>
      </w:r>
      <w:r>
        <w:rPr>
          <w:rFonts w:hint="eastAsia" w:ascii="宋体" w:hAnsi="宋体"/>
          <w:b/>
          <w:bCs/>
          <w:color w:val="000000"/>
          <w:sz w:val="24"/>
          <w:highlight w:val="none"/>
          <w:u w:val="single"/>
        </w:rPr>
        <w:t>时</w:t>
      </w:r>
      <w:r>
        <w:rPr>
          <w:rFonts w:hint="eastAsia" w:ascii="宋体" w:hAnsi="宋体"/>
          <w:b/>
          <w:bCs/>
          <w:color w:val="000000"/>
          <w:sz w:val="24"/>
          <w:highlight w:val="none"/>
          <w:u w:val="single"/>
          <w:lang w:val="en-US" w:eastAsia="zh-CN"/>
        </w:rPr>
        <w:t>30</w:t>
      </w:r>
      <w:r>
        <w:rPr>
          <w:rFonts w:hint="eastAsia" w:ascii="宋体" w:hAnsi="宋体"/>
          <w:b/>
          <w:bCs/>
          <w:color w:val="000000"/>
          <w:sz w:val="24"/>
          <w:highlight w:val="none"/>
          <w:u w:val="single"/>
        </w:rPr>
        <w:t>分</w:t>
      </w:r>
      <w:r>
        <w:rPr>
          <w:rFonts w:hint="eastAsia" w:ascii="宋体" w:hAnsi="宋体"/>
          <w:color w:val="000000"/>
          <w:sz w:val="24"/>
        </w:rPr>
        <w:t>，地点为</w:t>
      </w:r>
      <w:r>
        <w:rPr>
          <w:rFonts w:hint="eastAsia" w:ascii="宋体" w:hAnsi="宋体"/>
          <w:b/>
          <w:bCs/>
          <w:color w:val="000000"/>
          <w:sz w:val="24"/>
          <w:u w:val="single"/>
        </w:rPr>
        <w:t>成都市双流区金河路66号四川国际网球中心大会议室</w:t>
      </w:r>
      <w:bookmarkStart w:id="4" w:name="OLE_LINK1"/>
      <w:r>
        <w:rPr>
          <w:rFonts w:hint="eastAsia" w:ascii="宋体" w:hAnsi="宋体"/>
          <w:b/>
          <w:bCs/>
          <w:color w:val="000000"/>
          <w:sz w:val="24"/>
          <w:u w:val="single"/>
        </w:rPr>
        <w:t>（ZN118）</w:t>
      </w:r>
      <w:bookmarkEnd w:id="4"/>
      <w:r>
        <w:rPr>
          <w:rFonts w:hint="eastAsia" w:ascii="宋体" w:hAnsi="宋体"/>
          <w:color w:val="000000"/>
          <w:sz w:val="24"/>
          <w:u w:val="none"/>
        </w:rPr>
        <w:t>。</w:t>
      </w:r>
    </w:p>
    <w:p w14:paraId="0355AE61">
      <w:pPr>
        <w:spacing w:line="360" w:lineRule="auto"/>
        <w:ind w:firstLine="480" w:firstLineChars="200"/>
        <w:rPr>
          <w:rFonts w:ascii="宋体" w:hAnsi="宋体"/>
          <w:sz w:val="24"/>
        </w:rPr>
      </w:pPr>
      <w:r>
        <w:rPr>
          <w:rFonts w:hint="eastAsia" w:ascii="宋体" w:hAnsi="宋体"/>
          <w:sz w:val="24"/>
        </w:rPr>
        <w:t>2.逾期送达的或者未送达指定地点的</w:t>
      </w:r>
      <w:r>
        <w:rPr>
          <w:rFonts w:hint="eastAsia" w:ascii="宋体" w:hAnsi="宋体"/>
          <w:sz w:val="24"/>
          <w:lang w:val="en-US" w:eastAsia="zh-CN"/>
        </w:rPr>
        <w:t>响应</w:t>
      </w:r>
      <w:r>
        <w:rPr>
          <w:rFonts w:hint="eastAsia" w:ascii="宋体" w:hAnsi="宋体"/>
          <w:sz w:val="24"/>
        </w:rPr>
        <w:t>文件，比选人不予受理。</w:t>
      </w:r>
    </w:p>
    <w:p w14:paraId="7AB6291B">
      <w:pPr>
        <w:spacing w:line="360" w:lineRule="auto"/>
        <w:ind w:firstLine="482" w:firstLineChars="200"/>
        <w:rPr>
          <w:rFonts w:ascii="宋体" w:hAnsi="宋体"/>
          <w:b/>
          <w:sz w:val="24"/>
        </w:rPr>
      </w:pPr>
      <w:r>
        <w:rPr>
          <w:rFonts w:hint="eastAsia" w:ascii="宋体" w:hAnsi="宋体"/>
          <w:b/>
          <w:sz w:val="24"/>
        </w:rPr>
        <w:t>六、比选公告发布</w:t>
      </w:r>
    </w:p>
    <w:p w14:paraId="6BACACB6">
      <w:pPr>
        <w:spacing w:line="360" w:lineRule="auto"/>
        <w:ind w:firstLine="480" w:firstLineChars="200"/>
        <w:rPr>
          <w:rFonts w:ascii="宋体" w:hAnsi="宋体"/>
          <w:sz w:val="24"/>
        </w:rPr>
      </w:pPr>
      <w:r>
        <w:rPr>
          <w:rFonts w:hint="eastAsia" w:ascii="宋体" w:hAnsi="宋体" w:cs="宋体"/>
          <w:sz w:val="24"/>
        </w:rPr>
        <w:t>本比选公告在四川省投资集团有限责任公司(http://www.invest.com.cn/)、四川川投国际网球中心开发有限责任公司官网（</w:t>
      </w:r>
      <w:r>
        <w:rPr>
          <w:rFonts w:hint="eastAsia" w:ascii="宋体" w:hAnsi="宋体" w:cs="宋体"/>
          <w:sz w:val="24"/>
        </w:rPr>
        <w:fldChar w:fldCharType="begin"/>
      </w:r>
      <w:r>
        <w:rPr>
          <w:rFonts w:hint="eastAsia" w:ascii="宋体" w:hAnsi="宋体" w:cs="宋体"/>
          <w:sz w:val="24"/>
        </w:rPr>
        <w:instrText xml:space="preserve"> HYPERLINK "http://www.sciitc.com/" </w:instrText>
      </w:r>
      <w:r>
        <w:rPr>
          <w:rFonts w:hint="eastAsia" w:ascii="宋体" w:hAnsi="宋体" w:cs="宋体"/>
          <w:sz w:val="24"/>
        </w:rPr>
        <w:fldChar w:fldCharType="separate"/>
      </w:r>
      <w:r>
        <w:rPr>
          <w:rFonts w:hint="eastAsia" w:ascii="宋体" w:hAnsi="宋体" w:cs="宋体"/>
          <w:sz w:val="24"/>
        </w:rPr>
        <w:t>http://www.sciitc.com/</w:t>
      </w:r>
      <w:r>
        <w:rPr>
          <w:rFonts w:hint="eastAsia" w:ascii="宋体" w:hAnsi="宋体" w:cs="宋体"/>
          <w:sz w:val="24"/>
        </w:rPr>
        <w:fldChar w:fldCharType="end"/>
      </w:r>
      <w:r>
        <w:rPr>
          <w:rFonts w:hint="eastAsia" w:ascii="宋体" w:hAnsi="宋体" w:cs="宋体"/>
          <w:sz w:val="24"/>
        </w:rPr>
        <w:t>）及天府阳光采购服务平台（http://scig.tfygcgfw.com/）发布。</w:t>
      </w:r>
    </w:p>
    <w:p w14:paraId="76541E81">
      <w:pPr>
        <w:spacing w:line="360" w:lineRule="auto"/>
        <w:ind w:firstLine="482" w:firstLineChars="200"/>
        <w:rPr>
          <w:rFonts w:ascii="宋体" w:hAnsi="宋体"/>
          <w:b/>
          <w:color w:val="000000"/>
          <w:sz w:val="24"/>
        </w:rPr>
      </w:pPr>
      <w:r>
        <w:rPr>
          <w:rFonts w:hint="eastAsia" w:ascii="宋体" w:hAnsi="宋体"/>
          <w:b/>
          <w:color w:val="000000"/>
          <w:sz w:val="24"/>
        </w:rPr>
        <w:t>七、联系方式</w:t>
      </w:r>
    </w:p>
    <w:p w14:paraId="574A58C7">
      <w:pPr>
        <w:spacing w:line="360" w:lineRule="auto"/>
        <w:ind w:firstLine="480" w:firstLineChars="200"/>
        <w:rPr>
          <w:rFonts w:hint="eastAsia" w:ascii="宋体" w:hAnsi="宋体" w:cs="宋体"/>
          <w:sz w:val="24"/>
        </w:rPr>
      </w:pPr>
      <w:r>
        <w:rPr>
          <w:rFonts w:hint="eastAsia" w:ascii="宋体" w:hAnsi="宋体" w:cs="宋体"/>
          <w:sz w:val="24"/>
        </w:rPr>
        <w:t>比选人:</w:t>
      </w:r>
      <w:r>
        <w:rPr>
          <w:rFonts w:hint="eastAsia" w:ascii="宋体" w:hAnsi="宋体" w:cs="宋体"/>
          <w:sz w:val="24"/>
          <w:u w:val="single"/>
        </w:rPr>
        <w:t>四川川投国际网球中心开发有限责任公司</w:t>
      </w:r>
    </w:p>
    <w:p w14:paraId="54A6AC04">
      <w:pPr>
        <w:spacing w:line="360" w:lineRule="auto"/>
        <w:ind w:firstLine="480" w:firstLineChars="200"/>
        <w:rPr>
          <w:rFonts w:hint="eastAsia" w:ascii="宋体" w:hAnsi="宋体" w:cs="宋体"/>
          <w:sz w:val="24"/>
        </w:rPr>
      </w:pPr>
      <w:r>
        <w:rPr>
          <w:rFonts w:hint="eastAsia" w:ascii="宋体" w:hAnsi="宋体" w:cs="宋体"/>
          <w:sz w:val="24"/>
        </w:rPr>
        <w:t>地址:</w:t>
      </w:r>
      <w:r>
        <w:rPr>
          <w:rFonts w:hint="eastAsia" w:ascii="宋体" w:hAnsi="宋体" w:cs="宋体"/>
          <w:color w:val="000000"/>
          <w:sz w:val="24"/>
          <w:u w:val="single"/>
        </w:rPr>
        <w:t xml:space="preserve"> 成都市双流区金河路66号</w:t>
      </w:r>
    </w:p>
    <w:p w14:paraId="7937A456">
      <w:pPr>
        <w:spacing w:line="360" w:lineRule="auto"/>
        <w:ind w:firstLine="480" w:firstLineChars="200"/>
        <w:rPr>
          <w:rFonts w:hint="eastAsia" w:ascii="宋体" w:hAnsi="宋体" w:cs="宋体"/>
          <w:sz w:val="24"/>
        </w:rPr>
      </w:pPr>
      <w:r>
        <w:rPr>
          <w:rFonts w:hint="eastAsia" w:ascii="宋体" w:hAnsi="宋体" w:cs="宋体"/>
          <w:sz w:val="24"/>
        </w:rPr>
        <w:t>联系人:</w:t>
      </w:r>
      <w:bookmarkStart w:id="5" w:name="_GoBack"/>
      <w:bookmarkEnd w:id="5"/>
      <w:r>
        <w:rPr>
          <w:rFonts w:hint="eastAsia" w:ascii="宋体" w:hAnsi="宋体" w:cs="宋体"/>
          <w:sz w:val="24"/>
        </w:rPr>
        <w:t>何女士</w:t>
      </w:r>
    </w:p>
    <w:p w14:paraId="371F1216">
      <w:pPr>
        <w:ind w:firstLine="480" w:firstLineChars="200"/>
        <w:rPr>
          <w:rFonts w:hint="eastAsia" w:ascii="宋体" w:hAnsi="宋体" w:cs="宋体"/>
          <w:sz w:val="24"/>
        </w:rPr>
      </w:pPr>
      <w:r>
        <w:rPr>
          <w:rFonts w:hint="eastAsia" w:ascii="宋体" w:hAnsi="宋体" w:cs="宋体"/>
          <w:sz w:val="24"/>
        </w:rPr>
        <w:t>电话:028-85893078</w:t>
      </w:r>
    </w:p>
    <w:p w14:paraId="748B64F4">
      <w:pPr>
        <w:ind w:firstLine="480" w:firstLineChars="200"/>
        <w:rPr>
          <w:rFonts w:hint="eastAsia" w:ascii="宋体" w:hAnsi="宋体" w:cs="宋体"/>
          <w:sz w:val="24"/>
        </w:rPr>
      </w:pPr>
    </w:p>
    <w:p w14:paraId="4D7B87EC">
      <w:pPr>
        <w:rPr>
          <w:rFonts w:hint="eastAsia" w:ascii="宋体" w:hAnsi="宋体" w:eastAsia="宋体" w:cs="宋体"/>
          <w:lang w:eastAsia="zh-CN"/>
        </w:rPr>
      </w:pPr>
    </w:p>
    <w:p w14:paraId="52BB02AC">
      <w:pPr>
        <w:rPr>
          <w:rFonts w:hint="eastAsia" w:ascii="宋体" w:hAnsi="宋体" w:eastAsia="宋体" w:cs="宋体"/>
          <w:lang w:eastAsia="zh-CN"/>
        </w:rPr>
      </w:pPr>
    </w:p>
    <w:p w14:paraId="6D30950B">
      <w:pPr>
        <w:spacing w:line="360" w:lineRule="auto"/>
        <w:ind w:firstLine="480" w:firstLineChars="200"/>
        <w:jc w:val="righ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四川川投国际网球中心开发有限责任公司</w:t>
      </w:r>
    </w:p>
    <w:p w14:paraId="77D7B942">
      <w:pPr>
        <w:spacing w:line="360" w:lineRule="auto"/>
        <w:ind w:firstLine="480" w:firstLineChars="200"/>
        <w:jc w:val="righ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2025年</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12</w:t>
      </w:r>
      <w:r>
        <w:rPr>
          <w:rFonts w:hint="eastAsia" w:ascii="宋体" w:hAnsi="宋体" w:eastAsia="宋体" w:cs="宋体"/>
          <w:kern w:val="2"/>
          <w:sz w:val="24"/>
          <w:szCs w:val="24"/>
          <w:lang w:val="en-US" w:eastAsia="zh-CN" w:bidi="ar-SA"/>
        </w:rPr>
        <w:t xml:space="preserve">日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宋体-18030">
    <w:altName w:val="微软雅黑"/>
    <w:panose1 w:val="020B0604020202020204"/>
    <w:charset w:val="00"/>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YWZhOWEyNmZmNGU4ZDYxOTkzMTFmODMzN2JlY2UifQ=="/>
    <w:docVar w:name="KSO_WPS_MARK_KEY" w:val="28102570-3888-4551-9bf2-760c943aaae8"/>
  </w:docVars>
  <w:rsids>
    <w:rsidRoot w:val="65BA4F18"/>
    <w:rsid w:val="11542DB6"/>
    <w:rsid w:val="25F8628C"/>
    <w:rsid w:val="2CE46EA1"/>
    <w:rsid w:val="2D3F457D"/>
    <w:rsid w:val="364C3692"/>
    <w:rsid w:val="37154C0A"/>
    <w:rsid w:val="39A30C17"/>
    <w:rsid w:val="3F734A18"/>
    <w:rsid w:val="45434FF7"/>
    <w:rsid w:val="47B56720"/>
    <w:rsid w:val="4FCE076D"/>
    <w:rsid w:val="563B6FEB"/>
    <w:rsid w:val="65BA4F18"/>
    <w:rsid w:val="70197967"/>
    <w:rsid w:val="72650156"/>
    <w:rsid w:val="769B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index 8"/>
    <w:basedOn w:val="1"/>
    <w:next w:val="1"/>
    <w:qFormat/>
    <w:uiPriority w:val="0"/>
    <w:pPr>
      <w:ind w:left="2940"/>
      <w:jc w:val="center"/>
    </w:pPr>
  </w:style>
  <w:style w:type="paragraph" w:styleId="6">
    <w:name w:val="Body Text"/>
    <w:basedOn w:val="1"/>
    <w:next w:val="7"/>
    <w:qFormat/>
    <w:uiPriority w:val="0"/>
    <w:rPr>
      <w:rFonts w:eastAsia="仿宋_GB2312"/>
      <w:sz w:val="32"/>
    </w:rPr>
  </w:style>
  <w:style w:type="paragraph" w:styleId="7">
    <w:name w:val="Body Text First Indent"/>
    <w:basedOn w:val="6"/>
    <w:unhideWhenUsed/>
    <w:qFormat/>
    <w:uiPriority w:val="0"/>
    <w:pPr>
      <w:spacing w:line="440" w:lineRule="exact"/>
      <w:ind w:firstLine="420" w:firstLineChars="200"/>
    </w:pPr>
    <w:rPr>
      <w:szCs w:val="20"/>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666666"/>
      <w:u w:val="none"/>
    </w:rPr>
  </w:style>
  <w:style w:type="character" w:styleId="12">
    <w:name w:val="Hyperlink"/>
    <w:qFormat/>
    <w:uiPriority w:val="0"/>
    <w:rPr>
      <w:color w:val="666666"/>
      <w:u w:val="none"/>
    </w:rPr>
  </w:style>
  <w:style w:type="paragraph" w:styleId="13">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900</Words>
  <Characters>1124</Characters>
  <Lines>0</Lines>
  <Paragraphs>0</Paragraphs>
  <TotalTime>0</TotalTime>
  <ScaleCrop>false</ScaleCrop>
  <LinksUpToDate>false</LinksUpToDate>
  <CharactersWithSpaces>1137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2023-12-10T10:32:00Z</dcterms:created>
  <dc:creator>Mary</dc:creator>
  <cp:lastModifiedBy>HP</cp:lastModifiedBy>
  <dcterms:modified xsi:type="dcterms:W3CDTF">2025-05-12T02:59:33Z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910FF1044EA84E428290ED07C2843D38_11</vt:lpwstr>
  </property>
  <property fmtid="{D5CDD505-2E9C-101B-9397-08002B2CF9AE}" pid="4" name="KSOTemplateDocerSaveRecord">
    <vt:lpwstr>eyJoZGlkIjoiOTY2YWZhOWEyNmZmNGU4ZDYxOTkzMTFmODMzN2JlY2UifQ==</vt:lpwstr>
  </property>
</Properties>
</file>