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t>2024国际网联世界巡回赛青少年年终总决赛</w:t>
      </w:r>
    </w:p>
    <w:p>
      <w:pPr>
        <w:spacing w:line="360" w:lineRule="auto"/>
        <w:jc w:val="center"/>
        <w:rPr>
          <w:rFonts w:hint="eastAsia"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t>网球赛事技术服务项目比选公告</w:t>
      </w:r>
    </w:p>
    <w:p>
      <w:pPr>
        <w:pStyle w:val="5"/>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宋体" w:hAnsi="宋体" w:cs="宋体"/>
          <w:sz w:val="28"/>
          <w:szCs w:val="28"/>
        </w:rPr>
      </w:pPr>
      <w:bookmarkStart w:id="0" w:name="_Toc11202_WPSOffice_Level2"/>
      <w:bookmarkStart w:id="1" w:name="_Toc29623_WPSOffice_Level2"/>
      <w:bookmarkStart w:id="2" w:name="_Toc29517_WPSOffice_Level2"/>
    </w:p>
    <w:bookmarkEnd w:id="0"/>
    <w:bookmarkEnd w:id="1"/>
    <w:bookmarkEnd w:id="2"/>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1.川投国网公司根据经营需要，拟对2024国际网联世界巡回赛青少年年终总决赛网球赛事技术服务项目进行公开比选。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比选人</w:t>
            </w:r>
          </w:p>
        </w:tc>
        <w:tc>
          <w:tcPr>
            <w:tcW w:w="7271" w:type="dxa"/>
            <w:noWrap w:val="0"/>
            <w:vAlign w:val="top"/>
          </w:tcPr>
          <w:p>
            <w:pPr>
              <w:spacing w:line="360" w:lineRule="auto"/>
              <w:jc w:val="center"/>
              <w:rPr>
                <w:rFonts w:ascii="宋体" w:hAnsi="宋体"/>
                <w:sz w:val="24"/>
              </w:rPr>
            </w:pPr>
            <w:r>
              <w:rPr>
                <w:rFonts w:hint="eastAsia" w:ascii="宋体" w:hAnsi="宋体"/>
                <w:sz w:val="24"/>
              </w:rPr>
              <w:t>四川川投国际网球中心开发</w:t>
            </w:r>
            <w:bookmarkStart w:id="3" w:name="_GoBack"/>
            <w:bookmarkEnd w:id="3"/>
            <w:r>
              <w:rPr>
                <w:rFonts w:hint="eastAsia" w:ascii="宋体" w:hAnsi="宋体"/>
                <w:sz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ascii="宋体" w:hAnsi="宋体"/>
                <w:sz w:val="24"/>
              </w:rPr>
            </w:pPr>
            <w:r>
              <w:rPr>
                <w:rFonts w:hint="eastAsia" w:ascii="宋体" w:hAnsi="宋体"/>
                <w:sz w:val="24"/>
              </w:rPr>
              <w:t>项目名称</w:t>
            </w:r>
          </w:p>
        </w:tc>
        <w:tc>
          <w:tcPr>
            <w:tcW w:w="7271" w:type="dxa"/>
            <w:noWrap w:val="0"/>
            <w:vAlign w:val="top"/>
          </w:tcPr>
          <w:p>
            <w:pPr>
              <w:spacing w:line="360" w:lineRule="auto"/>
              <w:rPr>
                <w:rFonts w:hint="eastAsia" w:ascii="宋体" w:hAnsi="宋体"/>
                <w:sz w:val="24"/>
              </w:rPr>
            </w:pPr>
            <w:r>
              <w:rPr>
                <w:rFonts w:hint="eastAsia" w:ascii="宋体" w:hAnsi="宋体"/>
                <w:sz w:val="24"/>
              </w:rPr>
              <w:t>2024国际网联世界巡回赛青少年年终总决赛网球赛事技术服务项目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50" w:type="dxa"/>
            <w:noWrap w:val="0"/>
            <w:vAlign w:val="top"/>
          </w:tcPr>
          <w:p>
            <w:pPr>
              <w:spacing w:line="360" w:lineRule="auto"/>
              <w:jc w:val="center"/>
              <w:rPr>
                <w:rFonts w:hint="eastAsia" w:ascii="宋体" w:hAnsi="宋体"/>
                <w:sz w:val="24"/>
              </w:rPr>
            </w:pPr>
            <w:r>
              <w:rPr>
                <w:rFonts w:hint="eastAsia" w:ascii="宋体" w:hAnsi="宋体"/>
                <w:sz w:val="24"/>
              </w:rPr>
              <w:t>项目控制总价</w:t>
            </w:r>
          </w:p>
        </w:tc>
        <w:tc>
          <w:tcPr>
            <w:tcW w:w="7271" w:type="dxa"/>
            <w:noWrap w:val="0"/>
            <w:vAlign w:val="top"/>
          </w:tcPr>
          <w:p>
            <w:pPr>
              <w:spacing w:line="360" w:lineRule="auto"/>
              <w:jc w:val="center"/>
              <w:rPr>
                <w:rFonts w:ascii="宋体" w:hAnsi="宋体"/>
                <w:sz w:val="24"/>
              </w:rPr>
            </w:pPr>
            <w:r>
              <w:rPr>
                <w:rFonts w:hint="eastAsia" w:ascii="宋体" w:hAnsi="宋体"/>
                <w:sz w:val="24"/>
              </w:rPr>
              <w:t>35万元</w:t>
            </w:r>
          </w:p>
        </w:tc>
      </w:tr>
    </w:tbl>
    <w:p>
      <w:pPr>
        <w:spacing w:line="360" w:lineRule="auto"/>
        <w:ind w:firstLine="480" w:firstLineChars="200"/>
        <w:rPr>
          <w:rFonts w:ascii="宋体" w:hAnsi="宋体"/>
          <w:sz w:val="24"/>
        </w:rPr>
      </w:pPr>
      <w:r>
        <w:rPr>
          <w:rFonts w:hint="eastAsia" w:ascii="宋体" w:hAnsi="宋体"/>
          <w:sz w:val="24"/>
        </w:rPr>
        <w:t>2.比选内容</w:t>
      </w:r>
    </w:p>
    <w:p>
      <w:pPr>
        <w:spacing w:line="360" w:lineRule="auto"/>
        <w:ind w:firstLine="602" w:firstLineChars="250"/>
        <w:rPr>
          <w:rFonts w:ascii="宋体" w:hAnsi="宋体"/>
          <w:b/>
          <w:bCs/>
          <w:sz w:val="24"/>
        </w:rPr>
      </w:pPr>
      <w:r>
        <w:rPr>
          <w:rFonts w:hint="eastAsia" w:ascii="宋体" w:hAnsi="宋体"/>
          <w:b/>
          <w:bCs/>
          <w:sz w:val="24"/>
        </w:rPr>
        <w:t>响应人为比选人提供2024国际网联世界巡回赛青少年年终总决赛网球赛事技术服务（含3个赛场5天的赛事计时记分、信息处理、电视字幕、技术服务、中心球场体育展示服务并提供中央球场主持人、总导演、音频视频切换专业人员）。</w:t>
      </w:r>
    </w:p>
    <w:p>
      <w:pPr>
        <w:spacing w:line="360" w:lineRule="auto"/>
        <w:ind w:firstLine="482" w:firstLineChars="200"/>
        <w:rPr>
          <w:rFonts w:hint="default" w:ascii="宋体" w:hAnsi="宋体"/>
          <w:b/>
          <w:sz w:val="24"/>
          <w:lang w:val="en-US"/>
        </w:rPr>
      </w:pPr>
      <w:r>
        <w:rPr>
          <w:rFonts w:hint="default" w:ascii="宋体" w:hAnsi="宋体"/>
          <w:b/>
          <w:sz w:val="24"/>
          <w:lang w:val="en-US"/>
        </w:rPr>
        <w:t>三、响应人资格要求</w:t>
      </w:r>
    </w:p>
    <w:p>
      <w:pPr>
        <w:spacing w:line="360" w:lineRule="auto"/>
        <w:ind w:firstLine="480" w:firstLineChars="200"/>
        <w:rPr>
          <w:rFonts w:hint="eastAsia" w:ascii="宋体" w:hAnsi="宋体"/>
          <w:sz w:val="24"/>
        </w:rPr>
      </w:pPr>
      <w:r>
        <w:rPr>
          <w:rFonts w:hint="eastAsia" w:ascii="宋体" w:hAnsi="宋体"/>
          <w:sz w:val="24"/>
        </w:rPr>
        <w:t>1.响应人具有独立法人资格（法定代表人为同一个人的两个及两个以上法人，母公司、全资子公司及其控股公司，不得同时参选）。</w:t>
      </w:r>
      <w:r>
        <w:rPr>
          <w:rFonts w:hint="eastAsia" w:ascii="宋体" w:hAnsi="宋体"/>
          <w:b/>
          <w:bCs/>
          <w:sz w:val="24"/>
        </w:rPr>
        <w:t>营业执照中经营范围需具有电子计算机和软件服务相关经营内容。需提供营业执照</w:t>
      </w:r>
      <w:r>
        <w:rPr>
          <w:rFonts w:ascii="宋体" w:hAnsi="宋体"/>
          <w:b/>
          <w:bCs/>
          <w:sz w:val="24"/>
        </w:rPr>
        <w:t>（</w:t>
      </w:r>
      <w:r>
        <w:rPr>
          <w:rFonts w:hint="eastAsia" w:ascii="宋体" w:hAnsi="宋体"/>
          <w:b/>
          <w:bCs/>
          <w:sz w:val="24"/>
          <w:lang w:eastAsia="zh-Hans"/>
        </w:rPr>
        <w:t>复印件</w:t>
      </w:r>
      <w:r>
        <w:rPr>
          <w:rFonts w:ascii="宋体" w:hAnsi="宋体"/>
          <w:b/>
          <w:bCs/>
          <w:sz w:val="24"/>
        </w:rPr>
        <w:t>）</w:t>
      </w:r>
      <w:r>
        <w:rPr>
          <w:rFonts w:hint="eastAsia" w:ascii="宋体" w:hAnsi="宋体"/>
          <w:b/>
          <w:bCs/>
          <w:sz w:val="24"/>
        </w:rPr>
        <w:t>、企业介绍等资料。</w:t>
      </w:r>
    </w:p>
    <w:p>
      <w:pPr>
        <w:spacing w:line="360" w:lineRule="auto"/>
        <w:ind w:firstLine="480" w:firstLineChars="200"/>
        <w:rPr>
          <w:rFonts w:hint="eastAsia" w:ascii="宋体" w:hAnsi="宋体"/>
          <w:sz w:val="24"/>
        </w:rPr>
      </w:pPr>
      <w:r>
        <w:rPr>
          <w:rFonts w:hint="eastAsia" w:ascii="宋体" w:hAnsi="宋体"/>
          <w:sz w:val="24"/>
        </w:rPr>
        <w:t>2.近</w:t>
      </w:r>
      <w:r>
        <w:rPr>
          <w:rFonts w:hint="eastAsia" w:ascii="宋体" w:hAnsi="宋体"/>
          <w:sz w:val="24"/>
          <w:lang w:val="en-US" w:eastAsia="zh-CN"/>
        </w:rPr>
        <w:t>两</w:t>
      </w:r>
      <w:r>
        <w:rPr>
          <w:rFonts w:hint="eastAsia" w:ascii="宋体" w:hAnsi="宋体"/>
          <w:sz w:val="24"/>
        </w:rPr>
        <w:t>年</w:t>
      </w:r>
      <w:r>
        <w:rPr>
          <w:rFonts w:hint="eastAsia" w:ascii="宋体" w:hAnsi="宋体" w:cs="宋体"/>
          <w:sz w:val="24"/>
        </w:rPr>
        <w:t>财务状态良好，未处于财产被接管、冻结、破产状态</w:t>
      </w:r>
      <w:r>
        <w:rPr>
          <w:rFonts w:hint="eastAsia" w:ascii="宋体" w:hAnsi="宋体" w:cs="宋体"/>
          <w:b/>
          <w:bCs/>
          <w:sz w:val="24"/>
        </w:rPr>
        <w:t>（提供承诺函）</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b/>
          <w:bCs/>
          <w:sz w:val="24"/>
        </w:rPr>
        <w:t>近三年</w:t>
      </w:r>
      <w:r>
        <w:rPr>
          <w:rFonts w:hint="eastAsia" w:ascii="宋体" w:hAnsi="宋体"/>
          <w:b/>
          <w:bCs/>
          <w:sz w:val="24"/>
          <w:lang w:eastAsia="zh-Hans"/>
        </w:rPr>
        <w:t>未受到过</w:t>
      </w:r>
      <w:r>
        <w:rPr>
          <w:rFonts w:hint="eastAsia" w:ascii="宋体" w:hAnsi="宋体"/>
          <w:b/>
          <w:bCs/>
          <w:sz w:val="24"/>
        </w:rPr>
        <w:t>行政处罚</w:t>
      </w:r>
      <w:r>
        <w:rPr>
          <w:rFonts w:ascii="宋体" w:hAnsi="宋体"/>
          <w:sz w:val="24"/>
        </w:rPr>
        <w:t>（</w:t>
      </w:r>
      <w:r>
        <w:rPr>
          <w:rFonts w:hint="eastAsia" w:ascii="宋体" w:hAnsi="宋体"/>
          <w:sz w:val="24"/>
          <w:lang w:eastAsia="zh-Hans"/>
        </w:rPr>
        <w:t>提供</w:t>
      </w:r>
      <w:r>
        <w:rPr>
          <w:rFonts w:hint="eastAsia" w:ascii="宋体" w:hAnsi="宋体" w:cs="仿宋_GB2312"/>
          <w:bCs/>
          <w:sz w:val="24"/>
          <w:u w:val="single"/>
        </w:rPr>
        <w:t>“国家企业信用信息公示系统”</w:t>
      </w:r>
      <w:r>
        <w:rPr>
          <w:rFonts w:hint="eastAsia" w:ascii="宋体" w:hAnsi="宋体" w:cs="宋体"/>
          <w:sz w:val="24"/>
          <w:u w:val="single"/>
        </w:rPr>
        <w:t>https://www.gsxt.gov.cn/index.html</w:t>
      </w:r>
      <w:r>
        <w:rPr>
          <w:rFonts w:hint="eastAsia" w:ascii="宋体" w:hAnsi="宋体" w:cs="仿宋_GB2312"/>
          <w:bCs/>
          <w:sz w:val="24"/>
        </w:rPr>
        <w:t>下载的最新企业信用信息公示报告或查询截图</w:t>
      </w:r>
      <w:r>
        <w:rPr>
          <w:rFonts w:ascii="宋体" w:hAnsi="宋体"/>
          <w:sz w:val="24"/>
        </w:rPr>
        <w:t>）；</w:t>
      </w:r>
      <w:r>
        <w:rPr>
          <w:rFonts w:hint="eastAsia" w:ascii="宋体" w:hAnsi="宋体"/>
          <w:b/>
          <w:bCs/>
          <w:sz w:val="24"/>
        </w:rPr>
        <w:t>未被人民法院列为失信被执行人</w:t>
      </w:r>
      <w:r>
        <w:rPr>
          <w:rFonts w:ascii="宋体" w:hAnsi="宋体"/>
          <w:sz w:val="24"/>
        </w:rPr>
        <w:t>（</w:t>
      </w:r>
      <w:r>
        <w:rPr>
          <w:rFonts w:hint="eastAsia" w:ascii="宋体" w:hAnsi="宋体"/>
          <w:sz w:val="24"/>
          <w:lang w:eastAsia="zh-Hans"/>
        </w:rPr>
        <w:t>提供</w:t>
      </w:r>
      <w:r>
        <w:rPr>
          <w:rFonts w:hint="eastAsia" w:ascii="宋体" w:hAnsi="宋体" w:cs="宋体-18030"/>
          <w:sz w:val="24"/>
          <w:u w:val="single"/>
        </w:rPr>
        <w:t>“中国执行信息公开网”网站zxgk.court.gov.cn/</w:t>
      </w:r>
      <w:r>
        <w:rPr>
          <w:rFonts w:hint="eastAsia" w:ascii="宋体" w:hAnsi="宋体" w:cs="宋体-18030"/>
          <w:sz w:val="24"/>
        </w:rPr>
        <w:t>最新查询结果</w:t>
      </w:r>
      <w:r>
        <w:rPr>
          <w:rFonts w:hint="eastAsia" w:ascii="宋体" w:hAnsi="宋体" w:cs="宋体-18030"/>
          <w:sz w:val="24"/>
          <w:lang w:eastAsia="zh-Hans"/>
        </w:rPr>
        <w:t>截图</w:t>
      </w:r>
      <w:r>
        <w:rPr>
          <w:rFonts w:ascii="宋体" w:hAnsi="宋体"/>
          <w:sz w:val="24"/>
        </w:rPr>
        <w:t>）</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4.2018年至今具有2个及以上与比选内容（全部或部分）相关的赛事</w:t>
      </w:r>
      <w:r>
        <w:rPr>
          <w:rFonts w:hint="eastAsia"/>
          <w:sz w:val="24"/>
        </w:rPr>
        <w:t>服务业绩（</w:t>
      </w:r>
      <w:r>
        <w:rPr>
          <w:rFonts w:hint="eastAsia" w:ascii="宋体" w:hAnsi="宋体"/>
          <w:sz w:val="24"/>
        </w:rPr>
        <w:t>需提供加盖鲜章的合同复印件）。</w:t>
      </w:r>
    </w:p>
    <w:p>
      <w:pPr>
        <w:spacing w:line="360" w:lineRule="auto"/>
        <w:ind w:firstLine="480" w:firstLineChars="200"/>
        <w:rPr>
          <w:rFonts w:hint="eastAsia" w:ascii="宋体" w:hAnsi="宋体"/>
          <w:sz w:val="24"/>
        </w:rPr>
      </w:pPr>
      <w:r>
        <w:rPr>
          <w:rFonts w:hint="eastAsia" w:ascii="宋体" w:hAnsi="宋体"/>
          <w:sz w:val="24"/>
        </w:rPr>
        <w:t>5.本次比选不接受联合体投标。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hint="eastAsia" w:ascii="宋体" w:hAnsi="宋体" w:cs="宋体"/>
          <w:sz w:val="24"/>
        </w:rPr>
      </w:pPr>
      <w:r>
        <w:rPr>
          <w:rFonts w:hint="eastAsia" w:ascii="宋体" w:hAnsi="宋体" w:cs="宋体"/>
          <w:sz w:val="24"/>
        </w:rPr>
        <w:t>响应人请于</w:t>
      </w:r>
      <w:r>
        <w:rPr>
          <w:rFonts w:hint="eastAsia" w:ascii="宋体" w:hAnsi="宋体" w:cs="宋体"/>
          <w:b/>
          <w:bCs/>
          <w:sz w:val="24"/>
          <w:u w:val="single"/>
        </w:rPr>
        <w:t>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24</w:t>
      </w:r>
      <w:r>
        <w:rPr>
          <w:rFonts w:hint="eastAsia" w:ascii="宋体" w:hAnsi="宋体" w:cs="宋体"/>
          <w:b/>
          <w:bCs/>
          <w:sz w:val="24"/>
          <w:u w:val="single"/>
        </w:rPr>
        <w:t>日至2024年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7</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color w:val="000000"/>
          <w:sz w:val="24"/>
        </w:rPr>
        <w:t>参选文件</w:t>
      </w:r>
      <w:r>
        <w:rPr>
          <w:rFonts w:hint="eastAsia" w:ascii="宋体" w:hAnsi="宋体"/>
          <w:b/>
          <w:bCs/>
          <w:color w:val="000000"/>
          <w:sz w:val="24"/>
        </w:rPr>
        <w:t>递交时间为</w:t>
      </w:r>
      <w:r>
        <w:rPr>
          <w:rFonts w:hint="eastAsia" w:ascii="宋体" w:hAnsi="宋体"/>
          <w:b/>
          <w:bCs/>
          <w:color w:val="000000"/>
          <w:sz w:val="24"/>
          <w:u w:val="single"/>
        </w:rPr>
        <w:t>2024年</w:t>
      </w:r>
      <w:r>
        <w:rPr>
          <w:rFonts w:hint="eastAsia" w:ascii="宋体" w:hAnsi="宋体"/>
          <w:b/>
          <w:bCs/>
          <w:color w:val="000000"/>
          <w:sz w:val="24"/>
          <w:u w:val="single"/>
          <w:lang w:val="en-US" w:eastAsia="zh-CN"/>
        </w:rPr>
        <w:t>5</w:t>
      </w:r>
      <w:r>
        <w:rPr>
          <w:rFonts w:hint="eastAsia" w:ascii="宋体" w:hAnsi="宋体"/>
          <w:b/>
          <w:bCs/>
          <w:color w:val="000000"/>
          <w:sz w:val="24"/>
          <w:u w:val="single"/>
        </w:rPr>
        <w:t>月</w:t>
      </w:r>
      <w:r>
        <w:rPr>
          <w:rFonts w:hint="eastAsia" w:ascii="宋体" w:hAnsi="宋体"/>
          <w:b/>
          <w:bCs/>
          <w:color w:val="000000"/>
          <w:sz w:val="24"/>
          <w:u w:val="single"/>
          <w:lang w:val="en-US" w:eastAsia="zh-CN"/>
        </w:rPr>
        <w:t>9</w:t>
      </w:r>
      <w:r>
        <w:rPr>
          <w:rFonts w:hint="eastAsia" w:ascii="宋体" w:hAnsi="宋体"/>
          <w:b/>
          <w:bCs/>
          <w:color w:val="000000"/>
          <w:sz w:val="24"/>
          <w:u w:val="single"/>
        </w:rPr>
        <w:t>日</w:t>
      </w:r>
      <w:r>
        <w:rPr>
          <w:rFonts w:hint="eastAsia" w:ascii="宋体" w:hAnsi="宋体"/>
          <w:b/>
          <w:bCs/>
          <w:sz w:val="24"/>
          <w:u w:val="single"/>
        </w:rPr>
        <w:t>14</w:t>
      </w:r>
      <w:r>
        <w:rPr>
          <w:rFonts w:hint="eastAsia" w:ascii="宋体" w:hAnsi="宋体"/>
          <w:b/>
          <w:bCs/>
          <w:color w:val="000000"/>
          <w:sz w:val="24"/>
          <w:u w:val="single"/>
        </w:rPr>
        <w:t>时</w:t>
      </w:r>
      <w:r>
        <w:rPr>
          <w:rFonts w:hint="eastAsia" w:ascii="宋体" w:hAnsi="宋体"/>
          <w:b/>
          <w:bCs/>
          <w:sz w:val="24"/>
          <w:u w:val="single"/>
          <w:lang w:val="en-US" w:eastAsia="zh-CN"/>
        </w:rPr>
        <w:t>3</w:t>
      </w:r>
      <w:r>
        <w:rPr>
          <w:rFonts w:hint="eastAsia" w:ascii="宋体" w:hAnsi="宋体"/>
          <w:b/>
          <w:bCs/>
          <w:sz w:val="24"/>
          <w:u w:val="single"/>
        </w:rPr>
        <w:t>0</w:t>
      </w:r>
      <w:r>
        <w:rPr>
          <w:rFonts w:hint="eastAsia" w:ascii="宋体" w:hAnsi="宋体"/>
          <w:b/>
          <w:bCs/>
          <w:color w:val="000000"/>
          <w:sz w:val="24"/>
          <w:u w:val="single"/>
        </w:rPr>
        <w:t>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w:t>
      </w:r>
      <w:r>
        <w:rPr>
          <w:rFonts w:hint="eastAsia" w:ascii="宋体" w:hAnsi="宋体"/>
          <w:b/>
          <w:bCs/>
          <w:color w:val="000000"/>
          <w:sz w:val="24"/>
          <w:u w:val="single"/>
          <w:lang w:val="en-US" w:eastAsia="zh-CN"/>
        </w:rPr>
        <w:t>大会议室（ZM118）</w:t>
      </w:r>
      <w:r>
        <w:rPr>
          <w:rFonts w:hint="eastAsia" w:ascii="宋体" w:hAnsi="宋体"/>
          <w:b/>
          <w:bCs/>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rPr>
          <w:rFonts w:hint="eastAsia" w:ascii="宋体" w:hAnsi="宋体" w:cs="宋体"/>
        </w:rPr>
        <w:fldChar w:fldCharType="begin"/>
      </w:r>
      <w:r>
        <w:rPr>
          <w:rFonts w:hint="eastAsia" w:ascii="宋体" w:hAnsi="宋体" w:cs="宋体"/>
        </w:rPr>
        <w:instrText xml:space="preserve"> HYPERLINK "http://www.sciitc.com/" </w:instrText>
      </w:r>
      <w:r>
        <w:rPr>
          <w:rFonts w:hint="eastAsia" w:ascii="宋体" w:hAnsi="宋体" w:cs="宋体"/>
        </w:rP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hint="eastAsia"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hint="eastAsia" w:ascii="宋体" w:hAnsi="宋体" w:cs="宋体"/>
          <w:sz w:val="24"/>
        </w:rPr>
      </w:pPr>
      <w:r>
        <w:rPr>
          <w:rFonts w:hint="eastAsia" w:ascii="宋体" w:hAnsi="宋体" w:cs="宋体"/>
          <w:sz w:val="24"/>
        </w:rPr>
        <w:t>联系人：何女士</w:t>
      </w:r>
    </w:p>
    <w:p>
      <w:pPr>
        <w:spacing w:line="360" w:lineRule="auto"/>
        <w:ind w:firstLine="480" w:firstLineChars="200"/>
        <w:rPr>
          <w:rFonts w:hint="eastAsia" w:ascii="宋体" w:hAnsi="宋体" w:cs="宋体"/>
          <w:sz w:val="24"/>
        </w:rPr>
      </w:pPr>
      <w:r>
        <w:rPr>
          <w:rFonts w:hint="eastAsia" w:ascii="宋体" w:hAnsi="宋体" w:cs="宋体"/>
          <w:sz w:val="24"/>
        </w:rPr>
        <w:t>电话：028-85893078</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p>
    <w:p>
      <w:pPr>
        <w:pStyle w:val="2"/>
        <w:spacing w:line="360" w:lineRule="auto"/>
        <w:rPr>
          <w:rFonts w:hint="eastAsia"/>
        </w:rPr>
      </w:pPr>
    </w:p>
    <w:p>
      <w:pPr>
        <w:pStyle w:val="14"/>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四川川投国际网球中心开发有限责任公司</w:t>
      </w: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20</w:t>
      </w:r>
      <w:r>
        <w:rPr>
          <w:rFonts w:hint="eastAsia" w:ascii="宋体" w:hAnsi="宋体" w:cs="宋体"/>
          <w:sz w:val="24"/>
          <w:szCs w:val="24"/>
          <w:vertAlign w:val="baseline"/>
          <w:lang w:val="en-US" w:eastAsia="zh-CN"/>
        </w:rPr>
        <w:t>24</w:t>
      </w:r>
      <w:r>
        <w:rPr>
          <w:rFonts w:hint="eastAsia" w:ascii="宋体" w:hAnsi="宋体" w:eastAsia="宋体" w:cs="宋体"/>
          <w:sz w:val="24"/>
          <w:szCs w:val="24"/>
          <w:vertAlign w:val="baseline"/>
          <w:lang w:val="en-US" w:eastAsia="zh-CN"/>
        </w:rPr>
        <w:t>年</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val="en-US" w:eastAsia="zh-CN"/>
        </w:rPr>
        <w:t>月</w:t>
      </w:r>
      <w:r>
        <w:rPr>
          <w:rFonts w:hint="eastAsia" w:ascii="宋体" w:hAnsi="宋体" w:cs="宋体"/>
          <w:sz w:val="24"/>
          <w:szCs w:val="24"/>
          <w:vertAlign w:val="baseline"/>
          <w:lang w:val="en-US" w:eastAsia="zh-CN"/>
        </w:rPr>
        <w:t>24</w:t>
      </w:r>
      <w:r>
        <w:rPr>
          <w:rFonts w:hint="eastAsia" w:ascii="宋体" w:hAnsi="宋体" w:eastAsia="宋体" w:cs="宋体"/>
          <w:sz w:val="24"/>
          <w:szCs w:val="24"/>
          <w:vertAlign w:val="baseline"/>
          <w:lang w:val="en-US" w:eastAsia="zh-CN"/>
        </w:rPr>
        <w:t>日</w:t>
      </w: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p>
    <w:p>
      <w:pPr>
        <w:pStyle w:val="14"/>
        <w:pageBreakBefore w:val="0"/>
        <w:kinsoku/>
        <w:wordWrap/>
        <w:overflowPunct/>
        <w:topLinePunct w:val="0"/>
        <w:autoSpaceDE/>
        <w:autoSpaceDN/>
        <w:bidi w:val="0"/>
        <w:adjustRightInd/>
        <w:snapToGrid/>
        <w:spacing w:line="360" w:lineRule="auto"/>
        <w:ind w:left="2940" w:leftChars="0" w:firstLine="42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anchor distT="0" distB="0" distL="114935" distR="114935" simplePos="0" relativeHeight="251659264" behindDoc="0" locked="0" layoutInCell="1" allowOverlap="1">
            <wp:simplePos x="0" y="0"/>
            <wp:positionH relativeFrom="column">
              <wp:align>center</wp:align>
            </wp:positionH>
            <wp:positionV relativeFrom="paragraph">
              <wp:posOffset>21590</wp:posOffset>
            </wp:positionV>
            <wp:extent cx="5756275" cy="4109085"/>
            <wp:effectExtent l="0" t="0" r="15875" b="5715"/>
            <wp:wrapTopAndBottom/>
            <wp:docPr id="1" name="图片 1" descr="2024大会议室线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大会议室线路图"/>
                    <pic:cNvPicPr>
                      <a:picLocks noChangeAspect="1"/>
                    </pic:cNvPicPr>
                  </pic:nvPicPr>
                  <pic:blipFill>
                    <a:blip r:embed="rId4"/>
                    <a:stretch>
                      <a:fillRect/>
                    </a:stretch>
                  </pic:blipFill>
                  <pic:spPr>
                    <a:xfrm>
                      <a:off x="0" y="0"/>
                      <a:ext cx="5756275" cy="4109085"/>
                    </a:xfrm>
                    <a:prstGeom prst="rect">
                      <a:avLst/>
                    </a:prstGeom>
                  </pic:spPr>
                </pic:pic>
              </a:graphicData>
            </a:graphic>
          </wp:anchor>
        </w:drawing>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02"/>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Microsoft YaHei UI"/>
    <w:panose1 w:val="020B0604020202020204"/>
    <w:charset w:val="00"/>
    <w:family w:val="roma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宋体-18030">
    <w:altName w:val="微软雅黑"/>
    <w:panose1 w:val="020B0604020202020204"/>
    <w:charset w:val="00"/>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YWZhOWEyNmZmNGU4ZDYxOTkzMTFmODMzN2JlY2UifQ=="/>
    <w:docVar w:name="KSO_WPS_MARK_KEY" w:val="05c4a7ad-b303-4b8a-b302-e279bb87c2de"/>
  </w:docVars>
  <w:rsids>
    <w:rsidRoot w:val="7905325D"/>
    <w:rsid w:val="0C205A69"/>
    <w:rsid w:val="12C624B7"/>
    <w:rsid w:val="19666EF6"/>
    <w:rsid w:val="1E4F7901"/>
    <w:rsid w:val="2E5268AF"/>
    <w:rsid w:val="304A770A"/>
    <w:rsid w:val="36F64ACC"/>
    <w:rsid w:val="3A411B0B"/>
    <w:rsid w:val="3C884118"/>
    <w:rsid w:val="4185217F"/>
    <w:rsid w:val="43347094"/>
    <w:rsid w:val="453733F0"/>
    <w:rsid w:val="51311C8F"/>
    <w:rsid w:val="555B1CE1"/>
    <w:rsid w:val="56B5275C"/>
    <w:rsid w:val="58743A90"/>
    <w:rsid w:val="657C70F9"/>
    <w:rsid w:val="678C2A12"/>
    <w:rsid w:val="696033A9"/>
    <w:rsid w:val="701364FF"/>
    <w:rsid w:val="729D1E6A"/>
    <w:rsid w:val="74795D94"/>
    <w:rsid w:val="75337EAE"/>
    <w:rsid w:val="7905325D"/>
    <w:rsid w:val="7A3F3D5A"/>
    <w:rsid w:val="7D5401BF"/>
    <w:rsid w:val="7DD4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rPr>
  </w:style>
  <w:style w:type="paragraph" w:styleId="3">
    <w:name w:val="Body Text First Indent"/>
    <w:basedOn w:val="2"/>
    <w:unhideWhenUsed/>
    <w:qFormat/>
    <w:uiPriority w:val="0"/>
    <w:pPr>
      <w:spacing w:line="440" w:lineRule="exact"/>
      <w:ind w:firstLine="420" w:firstLineChars="200"/>
    </w:pPr>
    <w:rPr>
      <w:szCs w:val="20"/>
    </w:rPr>
  </w:style>
  <w:style w:type="paragraph" w:styleId="6">
    <w:name w:val="index 8"/>
    <w:basedOn w:val="1"/>
    <w:next w:val="1"/>
    <w:qFormat/>
    <w:uiPriority w:val="0"/>
    <w:pPr>
      <w:ind w:left="2940"/>
      <w:jc w:val="center"/>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列表段落1"/>
    <w:basedOn w:val="1"/>
    <w:qFormat/>
    <w:uiPriority w:val="34"/>
    <w:pPr>
      <w:ind w:firstLine="420" w:firstLineChars="200"/>
    </w:pPr>
    <w:rPr>
      <w:rFonts w:ascii="Calibri" w:hAnsi="Calibri"/>
      <w:szCs w:val="22"/>
    </w:rPr>
  </w:style>
  <w:style w:type="paragraph" w:customStyle="1" w:styleId="16">
    <w:name w:val="列出段落2"/>
    <w:basedOn w:val="1"/>
    <w:unhideWhenUsed/>
    <w:qFormat/>
    <w:uiPriority w:val="99"/>
    <w:pPr>
      <w:ind w:firstLine="420" w:firstLineChars="200"/>
    </w:pPr>
  </w:style>
  <w:style w:type="paragraph" w:styleId="17">
    <w:name w:val="List Paragraph"/>
    <w:basedOn w:val="1"/>
    <w:qFormat/>
    <w:uiPriority w:val="99"/>
    <w:pPr>
      <w:ind w:firstLine="420" w:firstLineChars="200"/>
    </w:pPr>
    <w:rPr>
      <w:rFonts w:ascii="Calibri" w:hAnsi="Calibri" w:eastAsia="宋体" w:cs="Times New Roman"/>
      <w:szCs w:val="22"/>
    </w:rPr>
  </w:style>
  <w:style w:type="paragraph" w:customStyle="1" w:styleId="18">
    <w:name w:val="Body text|1"/>
    <w:basedOn w:val="1"/>
    <w:qFormat/>
    <w:uiPriority w:val="0"/>
    <w:pPr>
      <w:spacing w:line="480" w:lineRule="auto"/>
      <w:ind w:firstLine="400"/>
    </w:pPr>
    <w:rPr>
      <w:rFonts w:ascii="宋体" w:hAnsi="宋体" w:cs="宋体"/>
      <w:sz w:val="22"/>
      <w:szCs w:val="22"/>
      <w:lang w:val="zh-TW" w:eastAsia="zh-TW" w:bidi="zh-TW"/>
    </w:rPr>
  </w:style>
  <w:style w:type="paragraph" w:customStyle="1" w:styleId="19">
    <w:name w:val="Default"/>
    <w:qFormat/>
    <w:uiPriority w:val="0"/>
    <w:pPr>
      <w:widowControl w:val="0"/>
    </w:pPr>
    <w:rPr>
      <w:rFonts w:ascii="......." w:hAnsi="......." w:eastAsia="宋体" w:cs="宋体"/>
      <w:color w:val="000000"/>
      <w:sz w:val="24"/>
      <w:szCs w:val="24"/>
      <w:lang w:val="en-US" w:eastAsia="zh-CN" w:bidi="ar-SA"/>
    </w:rPr>
  </w:style>
  <w:style w:type="paragraph" w:customStyle="1" w:styleId="20">
    <w:name w:val="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883</Words>
  <Characters>1092</Characters>
  <Lines>0</Lines>
  <Paragraphs>0</Paragraphs>
  <TotalTime>13</TotalTime>
  <ScaleCrop>false</ScaleCrop>
  <LinksUpToDate>false</LinksUpToDate>
  <CharactersWithSpaces>1099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2022-08-17T05:35:00Z</dcterms:created>
  <dc:creator>Mary</dc:creator>
  <cp:lastModifiedBy>panda</cp:lastModifiedBy>
  <dcterms:modified xsi:type="dcterms:W3CDTF">2024-04-24T02:12:11Z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AE85A553E62E4DD797E64E79C2700526</vt:lpwstr>
  </property>
</Properties>
</file>