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rPr>
        <w:t>川投国网公司运动员公寓防水修补服务</w:t>
      </w:r>
    </w:p>
    <w:p>
      <w:pPr>
        <w:pStyle w:val="3"/>
        <w:bidi w:val="0"/>
        <w:jc w:val="center"/>
        <w:rPr>
          <w:rFonts w:hint="eastAsia"/>
        </w:rPr>
      </w:pPr>
      <w:r>
        <w:rPr>
          <w:rFonts w:hint="eastAsia"/>
        </w:rPr>
        <w:t>比选公告</w:t>
      </w:r>
    </w:p>
    <w:p>
      <w:pPr>
        <w:rPr>
          <w:rFonts w:hint="eastAsia"/>
        </w:rPr>
      </w:pPr>
    </w:p>
    <w:p>
      <w:pPr>
        <w:pStyle w:val="4"/>
        <w:spacing w:before="0" w:after="0" w:line="416" w:lineRule="auto"/>
        <w:rPr>
          <w:rFonts w:hint="eastAsia" w:ascii="宋体" w:hAnsi="宋体" w:eastAsia="宋体" w:cs="宋体"/>
        </w:rPr>
      </w:pPr>
      <w:bookmarkStart w:id="0" w:name="_Toc29517_WPSOffice_Level2"/>
      <w:bookmarkStart w:id="1" w:name="_Toc29623_WPSOffice_Level2"/>
      <w:bookmarkStart w:id="2" w:name="_Toc11202_WPSOffice_Level2"/>
      <w:r>
        <w:rPr>
          <w:rFonts w:hint="eastAsia" w:ascii="宋体" w:hAnsi="宋体" w:eastAsia="宋体" w:cs="宋体"/>
        </w:rPr>
        <w:t>一、比选条件</w:t>
      </w:r>
      <w:bookmarkEnd w:id="0"/>
      <w:bookmarkEnd w:id="1"/>
      <w:bookmarkEnd w:id="2"/>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1.川投国网公司根据经营需要，按照公司制度对</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eastAsia="zh-CN"/>
        </w:rPr>
        <w:t>运动员公寓防水修补</w:t>
      </w:r>
      <w:r>
        <w:rPr>
          <w:rFonts w:hint="eastAsia" w:ascii="宋体" w:hAnsi="宋体" w:eastAsia="宋体" w:cs="宋体"/>
          <w:sz w:val="24"/>
          <w:highlight w:val="none"/>
          <w:u w:val="single"/>
          <w:lang w:eastAsia="zh-CN"/>
        </w:rPr>
        <w:t>服务</w:t>
      </w:r>
      <w:r>
        <w:rPr>
          <w:rFonts w:hint="eastAsia" w:ascii="宋体" w:hAnsi="宋体" w:eastAsia="宋体" w:cs="宋体"/>
          <w:sz w:val="24"/>
          <w:highlight w:val="none"/>
          <w:u w:val="single"/>
        </w:rPr>
        <w:t>项目</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进行公开比选。</w:t>
      </w:r>
    </w:p>
    <w:p>
      <w:pPr>
        <w:pStyle w:val="4"/>
        <w:spacing w:before="0" w:after="0"/>
        <w:rPr>
          <w:rFonts w:hint="eastAsia" w:ascii="宋体" w:hAnsi="宋体" w:eastAsia="宋体" w:cs="宋体"/>
          <w:highlight w:val="none"/>
        </w:rPr>
      </w:pPr>
      <w:bookmarkStart w:id="3" w:name="_Toc21771_WPSOffice_Level2"/>
      <w:bookmarkStart w:id="4" w:name="_Toc2206_WPSOffice_Level2"/>
      <w:bookmarkStart w:id="5" w:name="_Toc27772_WPSOffice_Level2"/>
      <w:r>
        <w:rPr>
          <w:rFonts w:hint="eastAsia" w:ascii="宋体" w:hAnsi="宋体" w:eastAsia="宋体" w:cs="宋体"/>
          <w:highlight w:val="none"/>
        </w:rPr>
        <w:t>二、项目概况与比选范围</w:t>
      </w:r>
      <w:bookmarkEnd w:id="3"/>
      <w:bookmarkEnd w:id="4"/>
      <w:bookmarkEnd w:id="5"/>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1.项目概况</w:t>
      </w:r>
    </w:p>
    <w:tbl>
      <w:tblPr>
        <w:tblStyle w:val="10"/>
        <w:tblW w:w="8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6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18" w:type="dxa"/>
            <w:noWrap w:val="0"/>
            <w:vAlign w:val="top"/>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比选人</w:t>
            </w:r>
          </w:p>
        </w:tc>
        <w:tc>
          <w:tcPr>
            <w:tcW w:w="6125" w:type="dxa"/>
            <w:noWrap w:val="0"/>
            <w:vAlign w:val="top"/>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四川川投国际网球中心开发有限责任公司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18" w:type="dxa"/>
            <w:noWrap w:val="0"/>
            <w:vAlign w:val="top"/>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6125" w:type="dxa"/>
            <w:noWrap w:val="0"/>
            <w:vAlign w:val="top"/>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川投国网公司</w:t>
            </w:r>
            <w:r>
              <w:rPr>
                <w:rFonts w:hint="eastAsia" w:ascii="宋体" w:hAnsi="宋体" w:cs="宋体"/>
                <w:sz w:val="24"/>
                <w:highlight w:val="none"/>
                <w:u w:val="none"/>
                <w:lang w:eastAsia="zh-CN"/>
              </w:rPr>
              <w:t>运动员公寓防水修补</w:t>
            </w:r>
            <w:r>
              <w:rPr>
                <w:rFonts w:hint="eastAsia" w:ascii="宋体" w:hAnsi="宋体" w:eastAsia="宋体" w:cs="宋体"/>
                <w:sz w:val="24"/>
                <w:highlight w:val="none"/>
                <w:lang w:eastAsia="zh-CN"/>
              </w:rPr>
              <w:t>服务</w:t>
            </w:r>
            <w:r>
              <w:rPr>
                <w:rFonts w:hint="eastAsia" w:ascii="宋体" w:hAnsi="宋体" w:eastAsia="宋体" w:cs="宋体"/>
                <w:sz w:val="24"/>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18" w:type="dxa"/>
            <w:noWrap w:val="0"/>
            <w:vAlign w:val="top"/>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项目控制总价</w:t>
            </w:r>
          </w:p>
        </w:tc>
        <w:tc>
          <w:tcPr>
            <w:tcW w:w="6125" w:type="dxa"/>
            <w:noWrap w:val="0"/>
            <w:vAlign w:val="top"/>
          </w:tcPr>
          <w:p>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r>
              <w:rPr>
                <w:rFonts w:hint="eastAsia" w:ascii="宋体" w:hAnsi="宋体" w:eastAsia="宋体" w:cs="宋体"/>
                <w:sz w:val="24"/>
                <w:highlight w:val="none"/>
                <w:lang w:val="en-US" w:eastAsia="zh-CN"/>
              </w:rPr>
              <w:t>万元</w:t>
            </w:r>
          </w:p>
        </w:tc>
      </w:tr>
    </w:tbl>
    <w:p>
      <w:pPr>
        <w:numPr>
          <w:ilvl w:val="0"/>
          <w:numId w:val="2"/>
        </w:numPr>
        <w:spacing w:line="360" w:lineRule="auto"/>
        <w:ind w:firstLine="480" w:firstLineChars="200"/>
        <w:rPr>
          <w:rFonts w:hint="eastAsia" w:ascii="宋体" w:hAnsi="宋体" w:eastAsia="宋体" w:cs="宋体"/>
          <w:sz w:val="24"/>
        </w:rPr>
      </w:pPr>
      <w:r>
        <w:rPr>
          <w:rFonts w:hint="eastAsia" w:ascii="宋体" w:hAnsi="宋体" w:eastAsia="宋体" w:cs="宋体"/>
          <w:sz w:val="24"/>
        </w:rPr>
        <w:t>比选范围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比选人经营过程中所需的</w:t>
      </w:r>
      <w:r>
        <w:rPr>
          <w:rFonts w:hint="eastAsia" w:ascii="宋体" w:hAnsi="宋体" w:eastAsia="宋体" w:cs="宋体"/>
          <w:sz w:val="24"/>
          <w:u w:val="single"/>
          <w:lang w:val="en-US" w:eastAsia="zh-CN"/>
        </w:rPr>
        <w:t xml:space="preserve"> </w:t>
      </w:r>
      <w:r>
        <w:rPr>
          <w:rFonts w:hint="eastAsia" w:ascii="宋体" w:hAnsi="宋体" w:cs="宋体"/>
          <w:sz w:val="24"/>
          <w:u w:val="single"/>
          <w:lang w:eastAsia="zh-CN"/>
        </w:rPr>
        <w:t>运动员公寓防水修补</w:t>
      </w:r>
      <w:r>
        <w:rPr>
          <w:rFonts w:hint="eastAsia" w:ascii="宋体" w:hAnsi="宋体" w:eastAsia="宋体" w:cs="宋体"/>
          <w:sz w:val="24"/>
          <w:u w:val="single"/>
          <w:lang w:eastAsia="zh-CN"/>
        </w:rPr>
        <w:t>服务</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pPr>
        <w:pStyle w:val="4"/>
        <w:spacing w:before="0" w:after="0"/>
        <w:rPr>
          <w:rFonts w:hint="eastAsia" w:ascii="宋体" w:hAnsi="宋体" w:eastAsia="宋体" w:cs="宋体"/>
        </w:rPr>
      </w:pPr>
      <w:bookmarkStart w:id="6" w:name="_Toc17608_WPSOffice_Level2"/>
      <w:bookmarkStart w:id="7" w:name="_Toc8619_WPSOffice_Level2"/>
      <w:bookmarkStart w:id="8" w:name="_Toc21873_WPSOffice_Level2"/>
      <w:r>
        <w:rPr>
          <w:rFonts w:hint="eastAsia" w:ascii="宋体" w:hAnsi="宋体" w:eastAsia="宋体" w:cs="宋体"/>
        </w:rPr>
        <w:t>三、响应人资格要求</w:t>
      </w:r>
      <w:bookmarkEnd w:id="6"/>
      <w:bookmarkEnd w:id="7"/>
      <w:bookmarkEnd w:id="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1.具有独立承担民事责任的能力，营业执照合法有效，注册资金不低于100万元；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2.具有安全生产许可证；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3.2022年以来2个及以</w:t>
      </w:r>
      <w:r>
        <w:rPr>
          <w:rFonts w:hint="eastAsia" w:ascii="宋体" w:hAnsi="宋体" w:cs="宋体"/>
          <w:sz w:val="24"/>
          <w:lang w:val="en-US" w:eastAsia="zh-CN"/>
        </w:rPr>
        <w:t>上</w:t>
      </w:r>
      <w:r>
        <w:rPr>
          <w:rFonts w:hint="eastAsia" w:ascii="宋体" w:hAnsi="宋体" w:eastAsia="宋体" w:cs="宋体"/>
          <w:sz w:val="24"/>
        </w:rPr>
        <w:t>防水工程，防水维修等相关服务业绩，提供相关合同证明（涉及企业机密的部分可省略，需提供加盖鲜章的合同复印件）；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4.近两年财务状况良好，未处于财产被接管、冻结、破产状态（提供承诺函）；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5.信誉良好，近三年无违法违规行为，无行业处罚、惩戒等不良执业记录及不良反映（提供承诺函）；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6.近三年未受过行政处罚（提供“国家企业信用信息公示系统”</w:t>
      </w:r>
      <w:r>
        <w:rPr>
          <w:rFonts w:hint="eastAsia" w:ascii="宋体" w:hAnsi="宋体" w:cs="宋体"/>
          <w:sz w:val="24"/>
        </w:rPr>
        <w:t>https://www.gsxt.gov.cn/index.html</w:t>
      </w:r>
      <w:bookmarkStart w:id="21" w:name="_GoBack"/>
      <w:bookmarkEnd w:id="21"/>
      <w:r>
        <w:rPr>
          <w:rFonts w:hint="eastAsia" w:ascii="宋体" w:hAnsi="宋体" w:eastAsia="宋体" w:cs="宋体"/>
          <w:sz w:val="24"/>
        </w:rPr>
        <w:t>下载的最新企业信用信息公示报告</w:t>
      </w:r>
      <w:r>
        <w:rPr>
          <w:rFonts w:hint="eastAsia" w:ascii="宋体" w:hAnsi="宋体" w:cs="宋体"/>
          <w:sz w:val="24"/>
          <w:lang w:val="en-US" w:eastAsia="zh-CN"/>
        </w:rPr>
        <w:t>或查询截图</w:t>
      </w:r>
      <w:r>
        <w:rPr>
          <w:rFonts w:hint="eastAsia" w:ascii="宋体" w:hAnsi="宋体" w:eastAsia="宋体" w:cs="宋体"/>
          <w:sz w:val="24"/>
        </w:rPr>
        <w:t>）；未被人民法院列入失信人名单（</w:t>
      </w:r>
      <w:r>
        <w:rPr>
          <w:rFonts w:hint="eastAsia" w:ascii="宋体" w:hAnsi="宋体" w:cs="宋体"/>
          <w:sz w:val="24"/>
          <w:lang w:val="en-US" w:eastAsia="zh-CN"/>
        </w:rPr>
        <w:t>提供</w:t>
      </w:r>
      <w:r>
        <w:rPr>
          <w:rFonts w:hint="eastAsia" w:ascii="宋体" w:hAnsi="宋体" w:eastAsia="宋体" w:cs="宋体"/>
          <w:sz w:val="24"/>
        </w:rPr>
        <w:t>“中国执行信息公开网”zxgk.court.gov.cn/最新查询截图）。</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7.本次比选不接受联合体投标。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注: 响应人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pStyle w:val="4"/>
        <w:spacing w:before="0" w:after="0" w:line="416" w:lineRule="auto"/>
        <w:rPr>
          <w:rFonts w:hint="eastAsia" w:ascii="宋体" w:hAnsi="宋体" w:eastAsia="宋体" w:cs="宋体"/>
        </w:rPr>
      </w:pPr>
      <w:bookmarkStart w:id="9" w:name="_Toc7603_WPSOffice_Level2"/>
      <w:bookmarkStart w:id="10" w:name="_Toc17422_WPSOffice_Level2"/>
      <w:bookmarkStart w:id="11" w:name="_Toc10427_WPSOffice_Level2"/>
      <w:r>
        <w:rPr>
          <w:rFonts w:hint="eastAsia" w:ascii="宋体" w:hAnsi="宋体" w:eastAsia="宋体" w:cs="宋体"/>
        </w:rPr>
        <w:t>四、比选文件的获取</w:t>
      </w:r>
      <w:bookmarkEnd w:id="9"/>
      <w:bookmarkEnd w:id="10"/>
      <w:bookmarkEnd w:id="11"/>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响应人请于</w:t>
      </w:r>
      <w:r>
        <w:rPr>
          <w:rFonts w:hint="eastAsia" w:ascii="宋体" w:hAnsi="宋体" w:cs="宋体"/>
          <w:b/>
          <w:bCs/>
          <w:sz w:val="24"/>
          <w:u w:val="single"/>
          <w:lang w:val="en-US" w:eastAsia="zh-CN"/>
        </w:rPr>
        <w:t>2023</w:t>
      </w:r>
      <w:r>
        <w:rPr>
          <w:rFonts w:hint="eastAsia" w:ascii="宋体" w:hAnsi="宋体" w:eastAsia="宋体" w:cs="宋体"/>
          <w:b/>
          <w:bCs/>
          <w:sz w:val="24"/>
          <w:u w:val="single"/>
        </w:rPr>
        <w:t>年</w:t>
      </w:r>
      <w:r>
        <w:rPr>
          <w:rFonts w:hint="eastAsia" w:ascii="宋体" w:hAnsi="宋体" w:cs="宋体"/>
          <w:b/>
          <w:bCs/>
          <w:sz w:val="24"/>
          <w:u w:val="single"/>
          <w:lang w:val="en-US" w:eastAsia="zh-CN"/>
        </w:rPr>
        <w:t>9</w:t>
      </w:r>
      <w:r>
        <w:rPr>
          <w:rFonts w:hint="eastAsia" w:ascii="宋体" w:hAnsi="宋体" w:eastAsia="宋体" w:cs="宋体"/>
          <w:b/>
          <w:bCs/>
          <w:sz w:val="24"/>
          <w:u w:val="single"/>
        </w:rPr>
        <w:t>月</w:t>
      </w:r>
      <w:r>
        <w:rPr>
          <w:rFonts w:hint="eastAsia" w:ascii="宋体" w:hAnsi="宋体" w:cs="宋体"/>
          <w:b/>
          <w:bCs/>
          <w:sz w:val="24"/>
          <w:u w:val="single"/>
          <w:lang w:val="en-US" w:eastAsia="zh-CN"/>
        </w:rPr>
        <w:t>26</w:t>
      </w:r>
      <w:r>
        <w:rPr>
          <w:rFonts w:hint="eastAsia" w:ascii="宋体" w:hAnsi="宋体" w:eastAsia="宋体" w:cs="宋体"/>
          <w:b/>
          <w:bCs/>
          <w:sz w:val="24"/>
          <w:u w:val="single"/>
        </w:rPr>
        <w:t>日至</w:t>
      </w:r>
      <w:r>
        <w:rPr>
          <w:rFonts w:hint="eastAsia" w:ascii="宋体" w:hAnsi="宋体" w:cs="宋体"/>
          <w:b/>
          <w:bCs/>
          <w:sz w:val="24"/>
          <w:u w:val="single"/>
          <w:lang w:val="en-US" w:eastAsia="zh-CN"/>
        </w:rPr>
        <w:t>2023</w:t>
      </w:r>
      <w:r>
        <w:rPr>
          <w:rFonts w:hint="eastAsia" w:ascii="宋体" w:hAnsi="宋体" w:eastAsia="宋体" w:cs="宋体"/>
          <w:b/>
          <w:bCs/>
          <w:sz w:val="24"/>
          <w:u w:val="single"/>
        </w:rPr>
        <w:t>年</w:t>
      </w:r>
      <w:r>
        <w:rPr>
          <w:rFonts w:hint="eastAsia" w:ascii="宋体" w:hAnsi="宋体" w:cs="宋体"/>
          <w:b/>
          <w:bCs/>
          <w:sz w:val="24"/>
          <w:u w:val="single"/>
          <w:lang w:val="en-US" w:eastAsia="zh-CN"/>
        </w:rPr>
        <w:t>10</w:t>
      </w:r>
      <w:r>
        <w:rPr>
          <w:rFonts w:hint="eastAsia" w:ascii="宋体" w:hAnsi="宋体" w:eastAsia="宋体" w:cs="宋体"/>
          <w:b/>
          <w:bCs/>
          <w:sz w:val="24"/>
          <w:u w:val="single"/>
        </w:rPr>
        <w:t>月</w:t>
      </w:r>
      <w:r>
        <w:rPr>
          <w:rFonts w:hint="eastAsia" w:ascii="宋体" w:hAnsi="宋体" w:cs="宋体"/>
          <w:b/>
          <w:bCs/>
          <w:sz w:val="24"/>
          <w:u w:val="single"/>
          <w:lang w:val="en-US" w:eastAsia="zh-CN"/>
        </w:rPr>
        <w:t>7</w:t>
      </w:r>
      <w:r>
        <w:rPr>
          <w:rFonts w:hint="eastAsia" w:ascii="宋体" w:hAnsi="宋体" w:eastAsia="宋体" w:cs="宋体"/>
          <w:b/>
          <w:bCs/>
          <w:sz w:val="24"/>
          <w:u w:val="single"/>
        </w:rPr>
        <w:t>日</w:t>
      </w:r>
      <w:r>
        <w:rPr>
          <w:rFonts w:hint="eastAsia" w:ascii="宋体" w:hAnsi="宋体" w:cs="宋体"/>
          <w:b/>
          <w:bCs/>
          <w:sz w:val="24"/>
          <w:lang w:eastAsia="zh-CN"/>
        </w:rPr>
        <w:t>，</w:t>
      </w:r>
      <w:r>
        <w:rPr>
          <w:rFonts w:hint="eastAsia" w:ascii="宋体" w:hAnsi="宋体" w:eastAsia="宋体" w:cs="宋体"/>
          <w:sz w:val="24"/>
        </w:rPr>
        <w:t>通过</w:t>
      </w:r>
      <w:r>
        <w:rPr>
          <w:rFonts w:hint="eastAsia" w:ascii="宋体" w:hAnsi="宋体" w:eastAsia="宋体" w:cs="宋体"/>
          <w:b/>
          <w:bCs/>
          <w:sz w:val="24"/>
          <w:u w:val="single"/>
        </w:rPr>
        <w:t>天府阳光采购服务平台 (http://scig.tfygcgfw.com/)</w:t>
      </w:r>
      <w:r>
        <w:rPr>
          <w:rFonts w:hint="eastAsia" w:ascii="宋体" w:hAnsi="宋体" w:eastAsia="宋体" w:cs="宋体"/>
          <w:b/>
          <w:bCs/>
          <w:sz w:val="24"/>
        </w:rPr>
        <w:t>在网上报名获取比选文件</w:t>
      </w:r>
      <w:r>
        <w:rPr>
          <w:rFonts w:hint="eastAsia" w:ascii="宋体" w:hAnsi="宋体" w:eastAsia="宋体" w:cs="宋体"/>
          <w:sz w:val="24"/>
        </w:rPr>
        <w:t>。</w:t>
      </w:r>
    </w:p>
    <w:p>
      <w:pPr>
        <w:pStyle w:val="4"/>
        <w:spacing w:before="0" w:after="0"/>
        <w:rPr>
          <w:rFonts w:hint="eastAsia" w:ascii="宋体" w:hAnsi="宋体" w:eastAsia="宋体" w:cs="宋体"/>
        </w:rPr>
      </w:pPr>
      <w:bookmarkStart w:id="12" w:name="_Toc14754_WPSOffice_Level2"/>
      <w:bookmarkStart w:id="13" w:name="_Toc20070_WPSOffice_Level2"/>
      <w:bookmarkStart w:id="14" w:name="_Toc18106_WPSOffice_Level2"/>
      <w:r>
        <w:rPr>
          <w:rFonts w:hint="eastAsia" w:ascii="宋体" w:hAnsi="宋体" w:eastAsia="宋体" w:cs="宋体"/>
        </w:rPr>
        <w:t>五、响应文件的递交</w:t>
      </w:r>
      <w:bookmarkEnd w:id="12"/>
      <w:bookmarkEnd w:id="13"/>
      <w:bookmarkEnd w:id="14"/>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1.响应文件递交时间为</w:t>
      </w:r>
      <w:r>
        <w:rPr>
          <w:rFonts w:hint="eastAsia" w:ascii="宋体" w:hAnsi="宋体" w:cs="宋体"/>
          <w:b/>
          <w:bCs/>
          <w:sz w:val="24"/>
          <w:u w:val="single"/>
          <w:lang w:val="en-US" w:eastAsia="zh-CN"/>
        </w:rPr>
        <w:t>2023</w:t>
      </w:r>
      <w:r>
        <w:rPr>
          <w:rFonts w:hint="eastAsia" w:ascii="宋体" w:hAnsi="宋体" w:eastAsia="宋体" w:cs="宋体"/>
          <w:b/>
          <w:bCs/>
          <w:sz w:val="24"/>
          <w:u w:val="single"/>
        </w:rPr>
        <w:t>年</w:t>
      </w:r>
      <w:r>
        <w:rPr>
          <w:rFonts w:hint="eastAsia" w:ascii="宋体" w:hAnsi="宋体" w:cs="宋体"/>
          <w:b/>
          <w:bCs/>
          <w:sz w:val="24"/>
          <w:u w:val="single"/>
          <w:lang w:val="en-US" w:eastAsia="zh-CN"/>
        </w:rPr>
        <w:t>10</w:t>
      </w:r>
      <w:r>
        <w:rPr>
          <w:rFonts w:hint="eastAsia" w:ascii="宋体" w:hAnsi="宋体" w:eastAsia="宋体" w:cs="宋体"/>
          <w:b/>
          <w:bCs/>
          <w:sz w:val="24"/>
          <w:u w:val="single"/>
        </w:rPr>
        <w:t>月</w:t>
      </w:r>
      <w:r>
        <w:rPr>
          <w:rFonts w:hint="eastAsia" w:ascii="宋体" w:hAnsi="宋体" w:cs="宋体"/>
          <w:b/>
          <w:bCs/>
          <w:sz w:val="24"/>
          <w:u w:val="single"/>
          <w:lang w:val="en-US" w:eastAsia="zh-CN"/>
        </w:rPr>
        <w:t>9</w:t>
      </w:r>
      <w:r>
        <w:rPr>
          <w:rFonts w:hint="eastAsia" w:ascii="宋体" w:hAnsi="宋体" w:eastAsia="宋体" w:cs="宋体"/>
          <w:b/>
          <w:bCs/>
          <w:sz w:val="24"/>
          <w:u w:val="single"/>
        </w:rPr>
        <w:t>日</w:t>
      </w:r>
      <w:r>
        <w:rPr>
          <w:rFonts w:hint="eastAsia" w:ascii="宋体" w:hAnsi="宋体" w:eastAsia="宋体" w:cs="宋体"/>
          <w:b/>
          <w:bCs/>
          <w:sz w:val="24"/>
          <w:u w:val="single"/>
          <w:lang w:val="en-US" w:eastAsia="zh-CN"/>
        </w:rPr>
        <w:t>1</w:t>
      </w:r>
      <w:r>
        <w:rPr>
          <w:rFonts w:hint="eastAsia" w:ascii="宋体" w:hAnsi="宋体" w:cs="宋体"/>
          <w:b/>
          <w:bCs/>
          <w:sz w:val="24"/>
          <w:u w:val="single"/>
          <w:lang w:val="en-US" w:eastAsia="zh-CN"/>
        </w:rPr>
        <w:t>0</w:t>
      </w:r>
      <w:r>
        <w:rPr>
          <w:rFonts w:hint="eastAsia" w:ascii="宋体" w:hAnsi="宋体" w:eastAsia="宋体" w:cs="宋体"/>
          <w:b/>
          <w:bCs/>
          <w:sz w:val="24"/>
          <w:u w:val="single"/>
          <w:lang w:val="en-US" w:eastAsia="zh-CN"/>
        </w:rPr>
        <w:t>时00</w:t>
      </w:r>
      <w:r>
        <w:rPr>
          <w:rFonts w:hint="eastAsia" w:ascii="宋体" w:hAnsi="宋体" w:eastAsia="宋体" w:cs="宋体"/>
          <w:b/>
          <w:bCs/>
          <w:sz w:val="24"/>
          <w:u w:val="single"/>
        </w:rPr>
        <w:t>分</w:t>
      </w:r>
      <w:r>
        <w:rPr>
          <w:rFonts w:hint="eastAsia" w:ascii="宋体" w:hAnsi="宋体" w:eastAsia="宋体" w:cs="宋体"/>
          <w:sz w:val="24"/>
        </w:rPr>
        <w:t>，地点为</w:t>
      </w:r>
      <w:r>
        <w:rPr>
          <w:rFonts w:hint="eastAsia" w:ascii="宋体" w:hAnsi="宋体" w:eastAsia="宋体" w:cs="宋体"/>
          <w:b/>
          <w:bCs/>
          <w:sz w:val="24"/>
          <w:u w:val="single"/>
        </w:rPr>
        <w:t>成都市双流区金河路66号四川国际网球中心</w:t>
      </w:r>
      <w:r>
        <w:rPr>
          <w:rFonts w:hint="eastAsia" w:ascii="宋体" w:hAnsi="宋体" w:cs="宋体"/>
          <w:b/>
          <w:bCs/>
          <w:sz w:val="24"/>
          <w:u w:val="single"/>
          <w:lang w:val="en-US" w:eastAsia="zh-CN"/>
        </w:rPr>
        <w:t>商务楼</w:t>
      </w:r>
      <w:r>
        <w:rPr>
          <w:rFonts w:hint="eastAsia" w:ascii="宋体" w:hAnsi="宋体" w:eastAsia="宋体" w:cs="宋体"/>
          <w:b/>
          <w:bCs/>
          <w:sz w:val="24"/>
          <w:u w:val="single"/>
        </w:rPr>
        <w:t>会议室</w:t>
      </w:r>
      <w:r>
        <w:rPr>
          <w:rFonts w:hint="eastAsia" w:ascii="宋体" w:hAnsi="宋体" w:eastAsia="宋体" w:cs="宋体"/>
          <w:sz w:val="24"/>
          <w:u w:val="single"/>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2.逾期送达的或者未送达指定地点的响应文件，比选人不予受理。</w:t>
      </w:r>
    </w:p>
    <w:p>
      <w:pPr>
        <w:pStyle w:val="4"/>
        <w:spacing w:before="0" w:after="0" w:line="416" w:lineRule="auto"/>
        <w:rPr>
          <w:rFonts w:hint="eastAsia" w:ascii="宋体" w:hAnsi="宋体" w:eastAsia="宋体" w:cs="宋体"/>
        </w:rPr>
      </w:pPr>
      <w:bookmarkStart w:id="15" w:name="_Toc14683_WPSOffice_Level2"/>
      <w:bookmarkStart w:id="16" w:name="_Toc1754_WPSOffice_Level2"/>
      <w:bookmarkStart w:id="17" w:name="_Toc8903_WPSOffice_Level2"/>
      <w:r>
        <w:rPr>
          <w:rFonts w:hint="eastAsia" w:ascii="宋体" w:hAnsi="宋体" w:eastAsia="宋体" w:cs="宋体"/>
        </w:rPr>
        <w:t>六、比选公告发布</w:t>
      </w:r>
      <w:bookmarkEnd w:id="15"/>
      <w:bookmarkEnd w:id="16"/>
      <w:bookmarkEnd w:id="17"/>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本比选公告在四川省投资集团有限责任公司(http://www.invest.com.cn/)、四川川投国际网球中心开发有限责任公司官网（</w:t>
      </w:r>
      <w:r>
        <w:rPr>
          <w:rFonts w:hint="eastAsia" w:ascii="宋体" w:hAnsi="宋体" w:eastAsia="宋体" w:cs="宋体"/>
        </w:rPr>
        <w:fldChar w:fldCharType="begin"/>
      </w:r>
      <w:r>
        <w:rPr>
          <w:rFonts w:hint="eastAsia" w:ascii="宋体" w:hAnsi="宋体" w:eastAsia="宋体" w:cs="宋体"/>
        </w:rPr>
        <w:instrText xml:space="preserve"> HYPERLINK "http://www.sciitc.com/" </w:instrText>
      </w:r>
      <w:r>
        <w:rPr>
          <w:rFonts w:hint="eastAsia" w:ascii="宋体" w:hAnsi="宋体" w:eastAsia="宋体" w:cs="宋体"/>
        </w:rPr>
        <w:fldChar w:fldCharType="separate"/>
      </w:r>
      <w:r>
        <w:rPr>
          <w:rFonts w:hint="eastAsia" w:ascii="宋体" w:hAnsi="宋体" w:eastAsia="宋体" w:cs="宋体"/>
          <w:sz w:val="24"/>
        </w:rPr>
        <w:t>http://www.sciitc.com/</w:t>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cs="宋体"/>
          <w:sz w:val="24"/>
          <w:lang w:eastAsia="zh-CN"/>
        </w:rPr>
        <w:t xml:space="preserve">、天府阳光采购服务平台 (http://scig.tfygcgfw.com/) </w:t>
      </w:r>
      <w:r>
        <w:rPr>
          <w:rFonts w:hint="eastAsia" w:ascii="宋体" w:hAnsi="宋体" w:eastAsia="宋体" w:cs="宋体"/>
          <w:sz w:val="24"/>
        </w:rPr>
        <w:t>及中国招标投标公共服务平台（http://www.cebpubservice.com/）发布。</w:t>
      </w:r>
    </w:p>
    <w:p>
      <w:pPr>
        <w:pStyle w:val="4"/>
        <w:spacing w:before="0" w:after="0"/>
        <w:rPr>
          <w:rFonts w:hint="eastAsia" w:ascii="宋体" w:hAnsi="宋体" w:eastAsia="宋体" w:cs="宋体"/>
        </w:rPr>
      </w:pPr>
      <w:bookmarkStart w:id="18" w:name="_Toc32506_WPSOffice_Level2"/>
      <w:bookmarkStart w:id="19" w:name="_Toc2270_WPSOffice_Level2"/>
      <w:bookmarkStart w:id="20" w:name="_Toc1702_WPSOffice_Level2"/>
      <w:r>
        <w:rPr>
          <w:rFonts w:hint="eastAsia" w:ascii="宋体" w:hAnsi="宋体" w:eastAsia="宋体" w:cs="宋体"/>
        </w:rPr>
        <w:t>七、联系方式</w:t>
      </w:r>
      <w:bookmarkEnd w:id="18"/>
      <w:bookmarkEnd w:id="19"/>
      <w:bookmarkEnd w:id="20"/>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比选人</w:t>
      </w:r>
      <w:r>
        <w:rPr>
          <w:rFonts w:hint="eastAsia" w:ascii="宋体" w:hAnsi="宋体" w:cs="宋体"/>
          <w:sz w:val="24"/>
          <w:lang w:eastAsia="zh-CN"/>
        </w:rPr>
        <w:t>：</w:t>
      </w:r>
      <w:r>
        <w:rPr>
          <w:rFonts w:hint="eastAsia" w:ascii="宋体" w:hAnsi="宋体" w:eastAsia="宋体" w:cs="宋体"/>
          <w:sz w:val="24"/>
        </w:rPr>
        <w:t>四川川投国际网球中心开发有限责任公司</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地址: 成都市双流区金河路66号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联系人: </w:t>
      </w:r>
      <w:r>
        <w:rPr>
          <w:rFonts w:hint="eastAsia" w:ascii="宋体" w:hAnsi="宋体" w:cs="宋体"/>
          <w:sz w:val="24"/>
          <w:lang w:eastAsia="zh-CN"/>
        </w:rPr>
        <w:t>何</w:t>
      </w:r>
      <w:r>
        <w:rPr>
          <w:rFonts w:hint="eastAsia" w:ascii="宋体" w:hAnsi="宋体" w:eastAsia="宋体" w:cs="宋体"/>
          <w:sz w:val="24"/>
        </w:rPr>
        <w:t xml:space="preserve">女士   </w:t>
      </w:r>
    </w:p>
    <w:p>
      <w:pPr>
        <w:widowControl/>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电话</w:t>
      </w:r>
      <w:r>
        <w:rPr>
          <w:rFonts w:hint="eastAsia" w:ascii="宋体" w:hAnsi="宋体" w:cs="宋体"/>
          <w:sz w:val="24"/>
          <w:lang w:eastAsia="zh-CN"/>
        </w:rPr>
        <w:t>：</w:t>
      </w:r>
      <w:r>
        <w:rPr>
          <w:rFonts w:hint="eastAsia" w:ascii="宋体" w:hAnsi="宋体" w:eastAsia="宋体" w:cs="宋体"/>
          <w:sz w:val="24"/>
        </w:rPr>
        <w:t>028-85893</w:t>
      </w:r>
      <w:r>
        <w:rPr>
          <w:rFonts w:hint="eastAsia" w:ascii="宋体" w:hAnsi="宋体" w:eastAsia="宋体" w:cs="宋体"/>
          <w:sz w:val="24"/>
          <w:lang w:val="en-US" w:eastAsia="zh-CN"/>
        </w:rPr>
        <w:t>078</w:t>
      </w:r>
    </w:p>
    <w:p>
      <w:pPr>
        <w:pStyle w:val="13"/>
        <w:rPr>
          <w:rFonts w:hint="eastAsia"/>
        </w:rPr>
      </w:pPr>
    </w:p>
    <w:p>
      <w:pPr>
        <w:pStyle w:val="14"/>
        <w:rPr>
          <w:rFonts w:hint="eastAsia"/>
        </w:rPr>
      </w:pPr>
    </w:p>
    <w:p>
      <w:pPr>
        <w:pStyle w:val="14"/>
        <w:spacing w:line="360" w:lineRule="auto"/>
        <w:jc w:val="righ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四川川投国际网球中心开发有限责任公司</w:t>
      </w:r>
    </w:p>
    <w:p>
      <w:pPr>
        <w:pStyle w:val="14"/>
        <w:spacing w:line="360" w:lineRule="auto"/>
        <w:ind w:left="2940" w:leftChars="0" w:firstLine="420" w:firstLineChars="0"/>
        <w:jc w:val="center"/>
        <w:rPr>
          <w:rFonts w:hint="eastAsia" w:asciiTheme="minorEastAsia" w:hAnsiTheme="minorEastAsia"/>
          <w:sz w:val="24"/>
        </w:rPr>
      </w:pPr>
      <w:r>
        <w:rPr>
          <w:rFonts w:hint="eastAsia" w:ascii="宋体" w:hAnsi="宋体" w:cs="宋体"/>
          <w:sz w:val="24"/>
          <w:szCs w:val="24"/>
          <w:vertAlign w:val="baseline"/>
          <w:lang w:val="en-US" w:eastAsia="zh-CN"/>
        </w:rPr>
        <w:t xml:space="preserve">      2023年9月26日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libri Light">
    <w:altName w:val="Latha"/>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Latha">
    <w:panose1 w:val="02000400000000000000"/>
    <w:charset w:val="00"/>
    <w:family w:val="auto"/>
    <w:pitch w:val="default"/>
    <w:sig w:usb0="001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12B93CF"/>
    <w:multiLevelType w:val="singleLevel"/>
    <w:tmpl w:val="512B93CF"/>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5325D"/>
    <w:rsid w:val="0C205A69"/>
    <w:rsid w:val="12C624B7"/>
    <w:rsid w:val="18894E0E"/>
    <w:rsid w:val="19666EF6"/>
    <w:rsid w:val="2F0B5290"/>
    <w:rsid w:val="3A411B0B"/>
    <w:rsid w:val="3C884118"/>
    <w:rsid w:val="3E840789"/>
    <w:rsid w:val="43347094"/>
    <w:rsid w:val="453733F0"/>
    <w:rsid w:val="51311C8F"/>
    <w:rsid w:val="555B1CE1"/>
    <w:rsid w:val="701364FF"/>
    <w:rsid w:val="7905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jc w:val="center"/>
    </w:pPr>
  </w:style>
  <w:style w:type="paragraph" w:styleId="5">
    <w:name w:val="annotation text"/>
    <w:basedOn w:val="1"/>
    <w:qFormat/>
    <w:uiPriority w:val="0"/>
    <w:pPr>
      <w:jc w:val="left"/>
    </w:pPr>
  </w:style>
  <w:style w:type="paragraph" w:styleId="6">
    <w:name w:val="Body Text"/>
    <w:basedOn w:val="1"/>
    <w:next w:val="7"/>
    <w:qFormat/>
    <w:uiPriority w:val="0"/>
    <w:rPr>
      <w:rFonts w:ascii="Times New Roman" w:hAnsi="Times New Roman" w:eastAsia="仿宋_GB2312" w:cs="Times New Roman"/>
      <w:sz w:val="32"/>
    </w:rPr>
  </w:style>
  <w:style w:type="paragraph" w:styleId="7">
    <w:name w:val="Body Text First Indent"/>
    <w:basedOn w:val="6"/>
    <w:unhideWhenUsed/>
    <w:qFormat/>
    <w:uiPriority w:val="0"/>
    <w:pPr>
      <w:spacing w:line="440" w:lineRule="exact"/>
      <w:ind w:firstLine="420" w:firstLineChars="200"/>
    </w:pPr>
    <w:rPr>
      <w:szCs w:val="20"/>
    </w:rPr>
  </w:style>
  <w:style w:type="paragraph" w:styleId="8">
    <w:name w:val="footer"/>
    <w:basedOn w:val="1"/>
    <w:qFormat/>
    <w:uiPriority w:val="0"/>
    <w:pPr>
      <w:tabs>
        <w:tab w:val="center" w:pos="4153"/>
        <w:tab w:val="right" w:pos="8306"/>
      </w:tabs>
      <w:adjustRightInd w:val="0"/>
      <w:snapToGrid w:val="0"/>
      <w:spacing w:line="240" w:lineRule="atLeast"/>
      <w:jc w:val="left"/>
      <w:textAlignment w:val="baseline"/>
    </w:pPr>
    <w:rPr>
      <w:kern w:val="0"/>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标题 5（有编号）（绿盟科技）"/>
    <w:basedOn w:val="1"/>
    <w:next w:val="1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5">
    <w:name w:val="列表段落1"/>
    <w:basedOn w:val="1"/>
    <w:qFormat/>
    <w:uiPriority w:val="34"/>
    <w:pPr>
      <w:ind w:firstLine="420" w:firstLineChars="200"/>
    </w:pPr>
    <w:rPr>
      <w:rFonts w:ascii="Calibri" w:hAnsi="Calibri"/>
      <w:szCs w:val="22"/>
    </w:rPr>
  </w:style>
  <w:style w:type="paragraph" w:customStyle="1" w:styleId="16">
    <w:name w:val="列出段落2"/>
    <w:basedOn w:val="1"/>
    <w:unhideWhenUsed/>
    <w:qFormat/>
    <w:uiPriority w:val="99"/>
    <w:pPr>
      <w:ind w:firstLine="420" w:firstLineChars="200"/>
    </w:pPr>
  </w:style>
  <w:style w:type="paragraph" w:styleId="17">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2022-08-17T05:35:00Z</dcterms:created>
  <dc:creator>Mary</dc:creator>
  <cp:lastModifiedBy>Mary</cp:lastModifiedBy>
  <dcterms:modified xsi:type="dcterms:W3CDTF">2023-09-26T08:25:42Z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2052-11.8.2.9093</vt:lpwstr>
  </property>
</Properties>
</file>