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bidi w:val="0"/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川网花园项目二期一、二批次项目</w:t>
      </w:r>
    </w:p>
    <w:p>
      <w:pPr>
        <w:pStyle w:val="3"/>
        <w:bidi w:val="0"/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广告策划与设计项目比选公告</w:t>
      </w:r>
    </w:p>
    <w:p>
      <w:pPr>
        <w:spacing w:line="360" w:lineRule="auto"/>
        <w:ind w:firstLine="482" w:firstLineChars="20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一、比选条件</w:t>
      </w:r>
    </w:p>
    <w:p>
      <w:pPr>
        <w:spacing w:line="360" w:lineRule="auto"/>
        <w:ind w:firstLine="480" w:firstLineChars="200"/>
        <w:jc w:val="left"/>
        <w:rPr>
          <w:rFonts w:ascii="宋体" w:hAnsi="宋体" w:eastAsiaTheme="minorEastAsia" w:cstheme="minorBidi"/>
          <w:sz w:val="24"/>
        </w:rPr>
      </w:pPr>
      <w:r>
        <w:rPr>
          <w:rFonts w:hint="eastAsia" w:ascii="宋体" w:hAnsi="宋体" w:eastAsiaTheme="minorEastAsia" w:cstheme="minorBidi"/>
          <w:sz w:val="24"/>
        </w:rPr>
        <w:t>我公司拟对川网国际花园二期一、二批次项目的广告策划与设计进行公开比选。现将公开比选有关情况介绍如下：</w:t>
      </w:r>
    </w:p>
    <w:p>
      <w:pPr>
        <w:spacing w:line="360" w:lineRule="auto"/>
        <w:ind w:firstLine="482" w:firstLineChars="20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二</w:t>
      </w:r>
      <w:r>
        <w:rPr>
          <w:rFonts w:hint="eastAsia" w:ascii="宋体" w:hAnsi="宋体"/>
          <w:b/>
          <w:sz w:val="24"/>
          <w:lang w:eastAsia="zh-CN"/>
        </w:rPr>
        <w:t>、</w:t>
      </w:r>
      <w:r>
        <w:rPr>
          <w:rFonts w:hint="eastAsia" w:ascii="宋体" w:hAnsi="宋体"/>
          <w:b/>
          <w:sz w:val="24"/>
        </w:rPr>
        <w:t>项目概况与比选范围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1.项目概况:</w:t>
      </w:r>
    </w:p>
    <w:tbl>
      <w:tblPr>
        <w:tblStyle w:val="8"/>
        <w:tblW w:w="83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65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1809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比选人</w:t>
            </w:r>
          </w:p>
        </w:tc>
        <w:tc>
          <w:tcPr>
            <w:tcW w:w="6538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四川川投国际网球中心开发有限责任公司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1809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项目名称</w:t>
            </w:r>
          </w:p>
        </w:tc>
        <w:tc>
          <w:tcPr>
            <w:tcW w:w="6538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川网国际花园二期一、二批次项目广告策划与设计项目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1809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项目控制总价</w:t>
            </w:r>
          </w:p>
        </w:tc>
        <w:tc>
          <w:tcPr>
            <w:tcW w:w="6538" w:type="dxa"/>
          </w:tcPr>
          <w:p>
            <w:pPr>
              <w:spacing w:line="360" w:lineRule="auto"/>
              <w:jc w:val="left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最终支付费用按响应人中选总价中服务内容清单（单价），结合实际数量，以最终产生的实际费用进行结算，总价不超过</w:t>
            </w: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12万元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。</w:t>
            </w:r>
          </w:p>
        </w:tc>
      </w:tr>
    </w:tbl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2.比选内容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left"/>
        <w:textAlignment w:val="auto"/>
        <w:rPr>
          <w:rFonts w:hint="eastAsia" w:ascii="宋体" w:hAnsi="宋体" w:eastAsiaTheme="minorEastAsia" w:cstheme="minorBidi"/>
          <w:b w:val="0"/>
          <w:bCs w:val="0"/>
          <w:sz w:val="24"/>
          <w:u w:val="none"/>
        </w:rPr>
      </w:pPr>
      <w:r>
        <w:rPr>
          <w:rFonts w:hint="eastAsia" w:ascii="宋体" w:hAnsi="宋体" w:eastAsiaTheme="minorEastAsia" w:cstheme="minorBidi"/>
          <w:sz w:val="24"/>
          <w:lang w:eastAsia="zh-CN"/>
        </w:rPr>
        <w:t>响应人</w:t>
      </w:r>
      <w:r>
        <w:rPr>
          <w:rFonts w:hint="eastAsia" w:ascii="宋体" w:hAnsi="宋体" w:eastAsiaTheme="minorEastAsia" w:cstheme="minorBidi"/>
          <w:sz w:val="24"/>
        </w:rPr>
        <w:t>为比选人提</w:t>
      </w:r>
      <w:r>
        <w:rPr>
          <w:rFonts w:hint="eastAsia" w:ascii="宋体" w:hAnsi="宋体" w:eastAsiaTheme="minorEastAsia" w:cstheme="minorBidi"/>
          <w:sz w:val="24"/>
          <w:u w:val="none"/>
        </w:rPr>
        <w:t>供川网国际花园二期一、二批次项目广告策划与设计项目</w:t>
      </w:r>
      <w:r>
        <w:rPr>
          <w:rFonts w:hint="eastAsia" w:ascii="宋体" w:hAnsi="宋体" w:eastAsiaTheme="minorEastAsia" w:cstheme="minorBidi"/>
          <w:b w:val="0"/>
          <w:bCs w:val="0"/>
          <w:sz w:val="24"/>
          <w:u w:val="none"/>
        </w:rPr>
        <w:t>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Theme="minorEastAsia" w:cstheme="minorBidi"/>
          <w:sz w:val="24"/>
        </w:rPr>
      </w:pPr>
      <w:r>
        <w:rPr>
          <w:rFonts w:hint="eastAsia" w:ascii="宋体" w:hAnsi="宋体" w:eastAsiaTheme="minorEastAsia" w:cstheme="minorBidi"/>
          <w:sz w:val="24"/>
        </w:rPr>
        <w:t>本项目广告策划与设计工作包括川网国际花园二期一、二批次项目以及促进川网国际花园二期一、二批次项目销售的其他业务，</w:t>
      </w:r>
      <w:r>
        <w:rPr>
          <w:rFonts w:hint="eastAsia" w:ascii="宋体" w:hAnsi="宋体" w:eastAsiaTheme="minorEastAsia" w:cstheme="minorBidi"/>
          <w:sz w:val="24"/>
          <w:lang w:eastAsia="zh-CN"/>
        </w:rPr>
        <w:t>响应人</w:t>
      </w:r>
      <w:r>
        <w:rPr>
          <w:rFonts w:hint="eastAsia" w:ascii="宋体" w:hAnsi="宋体" w:eastAsiaTheme="minorEastAsia" w:cstheme="minorBidi"/>
          <w:sz w:val="24"/>
        </w:rPr>
        <w:t xml:space="preserve">需按照比选人的安排开展广告策划与设计的所有内容，主要内容如下： </w:t>
      </w:r>
    </w:p>
    <w:p>
      <w:pPr>
        <w:spacing w:line="360" w:lineRule="auto"/>
        <w:ind w:firstLine="482" w:firstLineChars="200"/>
        <w:rPr>
          <w:rFonts w:hint="eastAsia" w:ascii="宋体" w:hAnsi="宋体"/>
          <w:b/>
          <w:bCs/>
          <w:sz w:val="24"/>
          <w:u w:val="single"/>
        </w:rPr>
      </w:pPr>
      <w:r>
        <w:rPr>
          <w:rFonts w:hint="eastAsia" w:ascii="宋体" w:hAnsi="宋体"/>
          <w:b/>
          <w:bCs/>
          <w:sz w:val="24"/>
          <w:u w:val="single"/>
        </w:rPr>
        <w:t>（1）项目全程广告策划、广告媒介、活动策略及创意构想，以甲方的营销策略为主导，深度挖掘项目的核心卖点和价值；</w:t>
      </w:r>
    </w:p>
    <w:p>
      <w:pPr>
        <w:spacing w:line="360" w:lineRule="auto"/>
        <w:ind w:firstLine="482" w:firstLineChars="200"/>
        <w:rPr>
          <w:rFonts w:hint="eastAsia" w:ascii="宋体" w:hAnsi="宋体"/>
          <w:b/>
          <w:bCs/>
          <w:sz w:val="24"/>
          <w:u w:val="single"/>
        </w:rPr>
      </w:pPr>
      <w:r>
        <w:rPr>
          <w:rFonts w:hint="eastAsia" w:ascii="宋体" w:hAnsi="宋体"/>
          <w:b/>
          <w:bCs/>
          <w:sz w:val="24"/>
          <w:u w:val="single"/>
        </w:rPr>
        <w:t>（2）广告设计、策划类服务包括：VI系统调整、平面广告设计、宣传物料设计、销售资料设计、现场包装设计、活动物料设计等、媒介投放策略、推广策略、媒介投放广告设计；</w:t>
      </w:r>
    </w:p>
    <w:p>
      <w:pPr>
        <w:spacing w:line="360" w:lineRule="auto"/>
        <w:ind w:firstLine="482" w:firstLineChars="200"/>
        <w:rPr>
          <w:rFonts w:hint="eastAsia" w:ascii="宋体" w:hAnsi="宋体"/>
          <w:b/>
          <w:bCs/>
          <w:sz w:val="24"/>
          <w:u w:val="single"/>
        </w:rPr>
      </w:pPr>
      <w:r>
        <w:rPr>
          <w:rFonts w:hint="eastAsia" w:ascii="宋体" w:hAnsi="宋体"/>
          <w:b/>
          <w:bCs/>
          <w:sz w:val="24"/>
          <w:u w:val="single"/>
        </w:rPr>
        <w:t>（3）各类文案写作服务包括：项目所需的各类文案写作、各类新闻、软文的写作，新媒体资源维护；</w:t>
      </w:r>
    </w:p>
    <w:p>
      <w:pPr>
        <w:spacing w:line="360" w:lineRule="auto"/>
        <w:ind w:firstLine="482" w:firstLineChars="200"/>
        <w:rPr>
          <w:rFonts w:hint="eastAsia" w:ascii="宋体" w:hAnsi="宋体"/>
          <w:b/>
          <w:bCs/>
          <w:sz w:val="24"/>
          <w:u w:val="single"/>
        </w:rPr>
      </w:pPr>
      <w:r>
        <w:rPr>
          <w:rFonts w:hint="eastAsia" w:ascii="宋体" w:hAnsi="宋体"/>
          <w:b/>
          <w:bCs/>
          <w:sz w:val="24"/>
          <w:u w:val="single"/>
        </w:rPr>
        <w:t>（4）项目广告全程跟进服务；</w:t>
      </w:r>
    </w:p>
    <w:p>
      <w:pPr>
        <w:spacing w:line="360" w:lineRule="auto"/>
        <w:ind w:firstLine="482" w:firstLineChars="200"/>
        <w:rPr>
          <w:rFonts w:hint="eastAsia" w:ascii="宋体" w:hAnsi="宋体"/>
          <w:b/>
          <w:bCs/>
          <w:sz w:val="24"/>
          <w:u w:val="single"/>
        </w:rPr>
      </w:pPr>
      <w:r>
        <w:rPr>
          <w:rFonts w:hint="eastAsia" w:ascii="宋体" w:hAnsi="宋体"/>
          <w:b/>
          <w:bCs/>
          <w:sz w:val="24"/>
          <w:u w:val="single"/>
        </w:rPr>
        <w:t>（5）项目理解及概念提升、整合推广；</w:t>
      </w:r>
    </w:p>
    <w:p>
      <w:pPr>
        <w:spacing w:line="360" w:lineRule="auto"/>
        <w:ind w:firstLine="482" w:firstLineChars="200"/>
        <w:rPr>
          <w:rFonts w:hint="eastAsia" w:ascii="宋体" w:hAnsi="宋体"/>
          <w:b/>
          <w:bCs/>
          <w:sz w:val="24"/>
          <w:u w:val="single"/>
        </w:rPr>
      </w:pPr>
      <w:r>
        <w:rPr>
          <w:rFonts w:hint="eastAsia" w:ascii="宋体" w:hAnsi="宋体"/>
          <w:b/>
          <w:bCs/>
          <w:sz w:val="24"/>
          <w:u w:val="single"/>
        </w:rPr>
        <w:t>（6）媒体炒作策划及与媒体配合；</w:t>
      </w:r>
    </w:p>
    <w:p>
      <w:pPr>
        <w:spacing w:line="360" w:lineRule="auto"/>
        <w:ind w:firstLine="482" w:firstLineChars="200"/>
        <w:rPr>
          <w:rFonts w:hint="eastAsia" w:ascii="宋体" w:hAnsi="宋体"/>
          <w:b/>
          <w:bCs/>
          <w:sz w:val="24"/>
          <w:u w:val="single"/>
        </w:rPr>
      </w:pPr>
      <w:r>
        <w:rPr>
          <w:rFonts w:hint="eastAsia" w:ascii="宋体" w:hAnsi="宋体"/>
          <w:b/>
          <w:bCs/>
          <w:sz w:val="24"/>
          <w:u w:val="single"/>
        </w:rPr>
        <w:t>（7）做好项目广告制作、推广以及各类公关活动配合；</w:t>
      </w:r>
    </w:p>
    <w:p>
      <w:pPr>
        <w:spacing w:line="360" w:lineRule="auto"/>
        <w:ind w:firstLine="482" w:firstLineChars="200"/>
        <w:rPr>
          <w:rFonts w:hint="eastAsia" w:ascii="宋体" w:hAnsi="宋体"/>
          <w:b/>
          <w:bCs/>
          <w:sz w:val="24"/>
          <w:u w:val="single"/>
        </w:rPr>
      </w:pPr>
      <w:r>
        <w:rPr>
          <w:rFonts w:hint="eastAsia" w:ascii="宋体" w:hAnsi="宋体"/>
          <w:b/>
          <w:bCs/>
          <w:sz w:val="24"/>
          <w:u w:val="single"/>
        </w:rPr>
        <w:t>（8）网络推广等其他有关甲方项目的推广服务内容。</w:t>
      </w:r>
    </w:p>
    <w:p>
      <w:pPr>
        <w:spacing w:line="360" w:lineRule="auto"/>
        <w:ind w:firstLine="482" w:firstLineChars="200"/>
        <w:rPr>
          <w:rFonts w:ascii="宋体" w:hAnsi="宋体"/>
          <w:b/>
          <w:bCs/>
          <w:sz w:val="24"/>
          <w:u w:val="single"/>
        </w:rPr>
      </w:pPr>
      <w:r>
        <w:rPr>
          <w:rFonts w:hint="eastAsia" w:ascii="宋体" w:hAnsi="宋体"/>
          <w:b/>
          <w:bCs/>
          <w:sz w:val="24"/>
          <w:u w:val="single"/>
        </w:rPr>
        <w:t>注：实际工作内容包含但不限于以上内容，由甲方订单为准。</w:t>
      </w:r>
    </w:p>
    <w:p>
      <w:pPr>
        <w:spacing w:line="360" w:lineRule="auto"/>
        <w:ind w:left="42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三、</w:t>
      </w:r>
      <w:r>
        <w:rPr>
          <w:rFonts w:hint="eastAsia" w:ascii="宋体" w:hAnsi="宋体"/>
          <w:b/>
          <w:sz w:val="24"/>
          <w:lang w:eastAsia="zh-CN"/>
        </w:rPr>
        <w:t>响应人</w:t>
      </w:r>
      <w:r>
        <w:rPr>
          <w:rFonts w:hint="eastAsia" w:ascii="宋体" w:hAnsi="宋体"/>
          <w:b/>
          <w:sz w:val="24"/>
        </w:rPr>
        <w:t>资格要求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宋体" w:hAnsi="宋体" w:cs="宋体"/>
          <w:color w:val="auto"/>
          <w:sz w:val="24"/>
          <w:szCs w:val="24"/>
          <w:highlight w:val="none"/>
        </w:rPr>
      </w:pPr>
      <w:bookmarkStart w:id="0" w:name="_Toc17422_WPSOffice_Level2"/>
      <w:bookmarkStart w:id="1" w:name="_Toc7603_WPSOffice_Level2"/>
      <w:bookmarkStart w:id="2" w:name="_Toc10427_WPSOffice_Level2"/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具备行政主管部门批准的广告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设计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或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策划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资格的独立法人企业，且信誉良好(需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响应人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提供营业执照复印件或扫描件作为证明材料，加盖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响应人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公章）；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熟悉房地产行业策划与公司品牌策划，设计表现优秀，协作意识强，理论水平高；近3年内（从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2020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年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9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月1日至今），完成或正在服务的房地产类的广告策划与设计项目至少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个，服务过的规模在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10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万平方米以上的中大型房地产类项目，并服务过全国知名地产企业（全国房地产企业排名前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10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0）开发的项目(业绩需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响应人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提供合同复印件或扫描件作为证明材料，加盖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响应人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公章）；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3.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ab/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有能力为本项目成立专门的工作组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工作组成员要求请详见比选须知前附表第16项“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项目管理团队组成及负责人资格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”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，同时保持人员构成的稳定，以及沟通顺畅，到位及广告的运作的延续性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提供承诺函）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；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4.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ab/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有清晰的策略和执行案，能满足不同时期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比选人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的工作要求和时间节点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；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5. 本项目不接受联合体参选；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 xml:space="preserve">6.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参加本次比选活动前三年内(202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0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年1月1 日-至今)，在经营活动中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未受到过行政处罚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（提供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“国家企业信用信息公示系统 ”下载的最新企业信用信息公示报告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或截图）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；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参加本次比选活动前三年内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未被人民法院列为失信被执行人(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提供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“中国执行信息公开网"网站zxgk.court.gov.cn/最新查询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截图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)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。</w:t>
      </w:r>
    </w:p>
    <w:p>
      <w:pPr>
        <w:spacing w:line="360" w:lineRule="auto"/>
        <w:ind w:firstLine="482" w:firstLineChars="20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四、比选文件的获取</w:t>
      </w:r>
      <w:bookmarkEnd w:id="0"/>
      <w:bookmarkEnd w:id="1"/>
      <w:bookmarkEnd w:id="2"/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响应人</w:t>
      </w:r>
      <w:r>
        <w:rPr>
          <w:rFonts w:hint="eastAsia" w:ascii="宋体" w:hAnsi="宋体" w:cs="宋体"/>
          <w:sz w:val="24"/>
        </w:rPr>
        <w:t>请于</w:t>
      </w:r>
      <w:r>
        <w:rPr>
          <w:rFonts w:hint="eastAsia" w:ascii="宋体" w:hAnsi="宋体" w:cs="宋体"/>
          <w:b/>
          <w:bCs/>
          <w:sz w:val="24"/>
          <w:highlight w:val="none"/>
          <w:u w:val="single"/>
        </w:rPr>
        <w:t>2023年</w:t>
      </w:r>
      <w:r>
        <w:rPr>
          <w:rFonts w:hint="eastAsia" w:ascii="宋体" w:hAnsi="宋体" w:cs="宋体"/>
          <w:b/>
          <w:bCs/>
          <w:sz w:val="24"/>
          <w:highlight w:val="none"/>
          <w:u w:val="single"/>
          <w:lang w:val="en-US" w:eastAsia="zh-CN"/>
        </w:rPr>
        <w:t>9</w:t>
      </w:r>
      <w:r>
        <w:rPr>
          <w:rFonts w:hint="eastAsia" w:ascii="宋体" w:hAnsi="宋体" w:cs="宋体"/>
          <w:b/>
          <w:bCs/>
          <w:sz w:val="24"/>
          <w:highlight w:val="none"/>
          <w:u w:val="single"/>
        </w:rPr>
        <w:t>月</w:t>
      </w:r>
      <w:r>
        <w:rPr>
          <w:rFonts w:hint="eastAsia" w:ascii="宋体" w:hAnsi="宋体" w:cs="宋体"/>
          <w:b/>
          <w:bCs/>
          <w:sz w:val="24"/>
          <w:highlight w:val="none"/>
          <w:u w:val="single"/>
          <w:lang w:val="en-US" w:eastAsia="zh-CN"/>
        </w:rPr>
        <w:t>22</w:t>
      </w:r>
      <w:r>
        <w:rPr>
          <w:rFonts w:hint="eastAsia" w:ascii="宋体" w:hAnsi="宋体" w:cs="宋体"/>
          <w:b/>
          <w:bCs/>
          <w:sz w:val="24"/>
          <w:highlight w:val="none"/>
          <w:u w:val="single"/>
        </w:rPr>
        <w:t>日至2023年</w:t>
      </w:r>
      <w:r>
        <w:rPr>
          <w:rFonts w:hint="eastAsia" w:ascii="宋体" w:hAnsi="宋体" w:cs="宋体"/>
          <w:b/>
          <w:bCs/>
          <w:sz w:val="24"/>
          <w:highlight w:val="none"/>
          <w:u w:val="single"/>
          <w:lang w:val="en-US" w:eastAsia="zh-CN"/>
        </w:rPr>
        <w:t>9</w:t>
      </w:r>
      <w:r>
        <w:rPr>
          <w:rFonts w:hint="eastAsia" w:ascii="宋体" w:hAnsi="宋体" w:cs="宋体"/>
          <w:b/>
          <w:bCs/>
          <w:sz w:val="24"/>
          <w:highlight w:val="none"/>
          <w:u w:val="single"/>
        </w:rPr>
        <w:t>月</w:t>
      </w:r>
      <w:r>
        <w:rPr>
          <w:rFonts w:hint="eastAsia" w:ascii="宋体" w:hAnsi="宋体" w:cs="宋体"/>
          <w:b/>
          <w:bCs/>
          <w:sz w:val="24"/>
          <w:highlight w:val="none"/>
          <w:u w:val="single"/>
          <w:lang w:val="en-US" w:eastAsia="zh-CN"/>
        </w:rPr>
        <w:t>27</w:t>
      </w:r>
      <w:r>
        <w:rPr>
          <w:rFonts w:hint="eastAsia" w:ascii="宋体" w:hAnsi="宋体" w:cs="宋体"/>
          <w:b/>
          <w:bCs/>
          <w:sz w:val="24"/>
          <w:highlight w:val="none"/>
          <w:u w:val="single"/>
        </w:rPr>
        <w:t>日</w:t>
      </w:r>
      <w:r>
        <w:rPr>
          <w:rFonts w:hint="eastAsia" w:ascii="宋体" w:hAnsi="宋体" w:cs="宋体"/>
          <w:sz w:val="24"/>
          <w:highlight w:val="none"/>
        </w:rPr>
        <w:t>（</w:t>
      </w:r>
      <w:r>
        <w:rPr>
          <w:rFonts w:hint="eastAsia" w:ascii="宋体" w:hAnsi="宋体" w:cs="宋体"/>
          <w:sz w:val="24"/>
        </w:rPr>
        <w:t>北京时间，下同），通过天府阳光采购服务平台（http://scig.tfygcgfw.com/）报名获取比选文件。</w:t>
      </w:r>
    </w:p>
    <w:p>
      <w:pPr>
        <w:spacing w:line="360" w:lineRule="auto"/>
        <w:ind w:firstLine="482" w:firstLineChars="200"/>
        <w:rPr>
          <w:rFonts w:ascii="宋体" w:hAnsi="宋体"/>
          <w:b/>
          <w:sz w:val="24"/>
        </w:rPr>
      </w:pPr>
      <w:bookmarkStart w:id="3" w:name="_Toc18106_WPSOffice_Level2"/>
      <w:bookmarkStart w:id="4" w:name="_Toc14754_WPSOffice_Level2"/>
      <w:bookmarkStart w:id="5" w:name="_Toc20070_WPSOffice_Level2"/>
      <w:r>
        <w:rPr>
          <w:rFonts w:hint="eastAsia" w:ascii="宋体" w:hAnsi="宋体"/>
          <w:b/>
          <w:sz w:val="24"/>
        </w:rPr>
        <w:t>五、</w:t>
      </w:r>
      <w:r>
        <w:rPr>
          <w:rFonts w:hint="eastAsia" w:ascii="宋体" w:hAnsi="宋体"/>
          <w:b/>
          <w:sz w:val="24"/>
          <w:lang w:eastAsia="zh-CN"/>
        </w:rPr>
        <w:t>响应</w:t>
      </w:r>
      <w:r>
        <w:rPr>
          <w:rFonts w:hint="eastAsia" w:ascii="宋体" w:hAnsi="宋体"/>
          <w:b/>
          <w:sz w:val="24"/>
        </w:rPr>
        <w:t>文件的递交</w:t>
      </w:r>
      <w:bookmarkEnd w:id="3"/>
      <w:bookmarkEnd w:id="4"/>
      <w:bookmarkEnd w:id="5"/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1.</w:t>
      </w:r>
      <w:r>
        <w:rPr>
          <w:rFonts w:hint="eastAsia" w:ascii="宋体" w:hAnsi="宋体" w:cs="宋体"/>
          <w:b/>
          <w:bCs/>
          <w:sz w:val="24"/>
          <w:lang w:eastAsia="zh-CN"/>
        </w:rPr>
        <w:t>响应</w:t>
      </w:r>
      <w:r>
        <w:rPr>
          <w:rFonts w:hint="eastAsia" w:ascii="宋体" w:hAnsi="宋体" w:cs="宋体"/>
          <w:b/>
          <w:bCs/>
          <w:sz w:val="24"/>
        </w:rPr>
        <w:t>文件递交时间为</w:t>
      </w:r>
      <w:r>
        <w:rPr>
          <w:rFonts w:hint="eastAsia" w:ascii="宋体" w:hAnsi="宋体" w:cs="宋体"/>
          <w:b/>
          <w:bCs/>
          <w:sz w:val="24"/>
          <w:highlight w:val="none"/>
          <w:u w:val="single"/>
        </w:rPr>
        <w:t>2023年</w:t>
      </w:r>
      <w:r>
        <w:rPr>
          <w:rFonts w:hint="eastAsia" w:ascii="宋体" w:hAnsi="宋体" w:cs="宋体"/>
          <w:b/>
          <w:bCs/>
          <w:sz w:val="24"/>
          <w:highlight w:val="none"/>
          <w:u w:val="single"/>
          <w:lang w:val="en-US" w:eastAsia="zh-CN"/>
        </w:rPr>
        <w:t>9</w:t>
      </w:r>
      <w:r>
        <w:rPr>
          <w:rFonts w:hint="eastAsia" w:ascii="宋体" w:hAnsi="宋体" w:cs="宋体"/>
          <w:b/>
          <w:bCs/>
          <w:sz w:val="24"/>
          <w:highlight w:val="none"/>
          <w:u w:val="single"/>
        </w:rPr>
        <w:t>月</w:t>
      </w:r>
      <w:r>
        <w:rPr>
          <w:rFonts w:hint="eastAsia" w:ascii="宋体" w:hAnsi="宋体" w:cs="宋体"/>
          <w:b/>
          <w:bCs/>
          <w:sz w:val="24"/>
          <w:highlight w:val="none"/>
          <w:u w:val="single"/>
          <w:lang w:val="en-US" w:eastAsia="zh-CN"/>
        </w:rPr>
        <w:t>28</w:t>
      </w:r>
      <w:r>
        <w:rPr>
          <w:rFonts w:hint="eastAsia" w:ascii="宋体" w:hAnsi="宋体" w:cs="宋体"/>
          <w:b/>
          <w:bCs/>
          <w:sz w:val="24"/>
          <w:highlight w:val="none"/>
          <w:u w:val="single"/>
        </w:rPr>
        <w:t>日</w:t>
      </w:r>
      <w:r>
        <w:rPr>
          <w:rFonts w:hint="eastAsia" w:ascii="宋体" w:hAnsi="宋体" w:cs="宋体"/>
          <w:b/>
          <w:bCs/>
          <w:sz w:val="24"/>
          <w:highlight w:val="none"/>
          <w:u w:val="single"/>
          <w:lang w:val="en-US" w:eastAsia="zh-CN"/>
        </w:rPr>
        <w:t>15</w:t>
      </w:r>
      <w:r>
        <w:rPr>
          <w:rFonts w:hint="eastAsia" w:ascii="宋体" w:hAnsi="宋体" w:cs="宋体"/>
          <w:b/>
          <w:bCs/>
          <w:sz w:val="24"/>
          <w:highlight w:val="none"/>
          <w:u w:val="single"/>
        </w:rPr>
        <w:t>时</w:t>
      </w:r>
      <w:r>
        <w:rPr>
          <w:rFonts w:hint="eastAsia" w:ascii="宋体" w:hAnsi="宋体" w:cs="宋体"/>
          <w:b/>
          <w:bCs/>
          <w:sz w:val="24"/>
          <w:highlight w:val="none"/>
          <w:u w:val="single"/>
          <w:lang w:val="en-US" w:eastAsia="zh-CN"/>
        </w:rPr>
        <w:t>00</w:t>
      </w:r>
      <w:r>
        <w:rPr>
          <w:rFonts w:hint="eastAsia" w:ascii="宋体" w:hAnsi="宋体" w:cs="宋体"/>
          <w:b/>
          <w:bCs/>
          <w:sz w:val="24"/>
          <w:highlight w:val="none"/>
          <w:u w:val="single"/>
        </w:rPr>
        <w:t>分</w:t>
      </w:r>
      <w:r>
        <w:rPr>
          <w:rFonts w:hint="eastAsia" w:ascii="宋体" w:hAnsi="宋体" w:cs="宋体"/>
          <w:sz w:val="24"/>
        </w:rPr>
        <w:t>，地点为</w:t>
      </w:r>
      <w:r>
        <w:rPr>
          <w:rFonts w:hint="eastAsia" w:ascii="宋体" w:hAnsi="宋体" w:cs="宋体"/>
          <w:b/>
          <w:bCs/>
          <w:sz w:val="24"/>
          <w:u w:val="single"/>
        </w:rPr>
        <w:t>成都市双流区金河路66号四川国际网球中心商务楼会议室</w:t>
      </w:r>
      <w:r>
        <w:rPr>
          <w:rFonts w:hint="eastAsia" w:ascii="宋体" w:hAnsi="宋体" w:cs="宋体"/>
          <w:sz w:val="24"/>
          <w:u w:val="single"/>
        </w:rPr>
        <w:t>。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2.逾期送达的或者未送达指定地点的响应文件，比选人不予受理。</w:t>
      </w:r>
    </w:p>
    <w:p>
      <w:pPr>
        <w:spacing w:line="360" w:lineRule="auto"/>
        <w:ind w:firstLine="482" w:firstLineChars="200"/>
        <w:rPr>
          <w:rFonts w:ascii="宋体" w:hAnsi="宋体"/>
          <w:b/>
          <w:sz w:val="24"/>
        </w:rPr>
      </w:pPr>
      <w:bookmarkStart w:id="6" w:name="_Toc1754_WPSOffice_Level2"/>
      <w:bookmarkStart w:id="7" w:name="_Toc8903_WPSOffice_Level2"/>
      <w:bookmarkStart w:id="8" w:name="_Toc14683_WPSOffice_Level2"/>
      <w:r>
        <w:rPr>
          <w:rFonts w:hint="eastAsia" w:ascii="宋体" w:hAnsi="宋体"/>
          <w:b/>
          <w:sz w:val="24"/>
        </w:rPr>
        <w:t>六、比选公告发布</w:t>
      </w:r>
      <w:bookmarkEnd w:id="6"/>
      <w:bookmarkEnd w:id="7"/>
      <w:bookmarkEnd w:id="8"/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本比选公告在四川省投资集团有限责任公司(http://www.invest.com.cn/)、四川川投国际网球中心开发有限责任公司官网（</w:t>
      </w:r>
      <w:r>
        <w:fldChar w:fldCharType="begin"/>
      </w:r>
      <w:r>
        <w:instrText xml:space="preserve"> HYPERLINK "http://www.sciitc.com/" </w:instrText>
      </w:r>
      <w:r>
        <w:fldChar w:fldCharType="separate"/>
      </w:r>
      <w:r>
        <w:rPr>
          <w:rFonts w:hint="eastAsia" w:ascii="宋体" w:hAnsi="宋体" w:cs="宋体"/>
          <w:sz w:val="24"/>
        </w:rPr>
        <w:t>http://www.sciitc.com/</w:t>
      </w:r>
      <w:r>
        <w:rPr>
          <w:rFonts w:hint="eastAsia" w:ascii="宋体" w:hAnsi="宋体" w:cs="宋体"/>
          <w:sz w:val="24"/>
        </w:rPr>
        <w:fldChar w:fldCharType="end"/>
      </w:r>
      <w:r>
        <w:rPr>
          <w:rFonts w:hint="eastAsia" w:ascii="宋体" w:hAnsi="宋体" w:cs="宋体"/>
          <w:sz w:val="24"/>
        </w:rPr>
        <w:t>）及天府阳光采购服务平台（http://scig.tfygcgfw.com/）发布。</w:t>
      </w:r>
    </w:p>
    <w:p>
      <w:pPr>
        <w:spacing w:line="360" w:lineRule="auto"/>
        <w:ind w:firstLine="482" w:firstLineChars="200"/>
        <w:rPr>
          <w:rFonts w:ascii="宋体" w:hAnsi="宋体"/>
          <w:b/>
          <w:sz w:val="24"/>
        </w:rPr>
      </w:pPr>
      <w:bookmarkStart w:id="9" w:name="_Toc2270_WPSOffice_Level2"/>
      <w:bookmarkStart w:id="10" w:name="_Toc1702_WPSOffice_Level2"/>
      <w:bookmarkStart w:id="11" w:name="_Toc32506_WPSOffice_Level2"/>
      <w:r>
        <w:rPr>
          <w:rFonts w:hint="eastAsia" w:ascii="宋体" w:hAnsi="宋体"/>
          <w:b/>
          <w:sz w:val="24"/>
        </w:rPr>
        <w:t>七、联系方式</w:t>
      </w:r>
      <w:bookmarkEnd w:id="9"/>
      <w:bookmarkEnd w:id="10"/>
      <w:bookmarkEnd w:id="11"/>
    </w:p>
    <w:p>
      <w:pPr>
        <w:widowControl/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比选人：四川川投国际网球中心开发有限责任公司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地址: 成都市双流区金河路66号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联系人: 何女士   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电话：028-85893078</w:t>
      </w:r>
    </w:p>
    <w:p>
      <w:pPr>
        <w:pStyle w:val="12"/>
        <w:rPr>
          <w:rFonts w:hint="eastAsia" w:ascii="宋体" w:hAnsi="宋体" w:eastAsia="宋体" w:cs="宋体"/>
        </w:rPr>
      </w:pPr>
    </w:p>
    <w:p>
      <w:pPr>
        <w:pStyle w:val="13"/>
        <w:spacing w:line="360" w:lineRule="auto"/>
        <w:jc w:val="right"/>
        <w:rPr>
          <w:rFonts w:hint="eastAsia" w:ascii="宋体" w:hAnsi="宋体" w:eastAsia="宋体" w:cs="宋体"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vertAlign w:val="baseline"/>
          <w:lang w:val="en-US" w:eastAsia="zh-CN"/>
        </w:rPr>
        <w:t>四川川投国际网球中心开发有限责任公司</w:t>
      </w:r>
    </w:p>
    <w:p>
      <w:pPr>
        <w:pStyle w:val="13"/>
        <w:spacing w:line="360" w:lineRule="auto"/>
        <w:ind w:left="2940" w:leftChars="0" w:firstLine="420" w:firstLineChars="0"/>
        <w:jc w:val="center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szCs w:val="24"/>
          <w:vertAlign w:val="baseline"/>
          <w:lang w:val="en-US" w:eastAsia="zh-CN"/>
        </w:rPr>
        <w:t xml:space="preserve">      2023年</w:t>
      </w:r>
      <w:bookmarkStart w:id="12" w:name="_GoBack"/>
      <w:bookmarkEnd w:id="12"/>
      <w:r>
        <w:rPr>
          <w:rFonts w:hint="eastAsia" w:ascii="宋体" w:hAnsi="宋体" w:eastAsia="宋体" w:cs="宋体"/>
          <w:sz w:val="24"/>
          <w:szCs w:val="24"/>
          <w:vertAlign w:val="baseline"/>
          <w:lang w:val="en-US" w:eastAsia="zh-CN"/>
        </w:rPr>
        <w:t>9月2</w:t>
      </w:r>
      <w:r>
        <w:rPr>
          <w:rFonts w:hint="eastAsia" w:ascii="宋体" w:hAnsi="宋体" w:cs="宋体"/>
          <w:sz w:val="24"/>
          <w:szCs w:val="24"/>
          <w:vertAlign w:val="baseline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  <w:vertAlign w:val="baseline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50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Latha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D1160"/>
    <w:multiLevelType w:val="singleLevel"/>
    <w:tmpl w:val="117D1160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12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05325D"/>
    <w:rsid w:val="0C205A69"/>
    <w:rsid w:val="12C624B7"/>
    <w:rsid w:val="19666EF6"/>
    <w:rsid w:val="2E5268AF"/>
    <w:rsid w:val="3A411B0B"/>
    <w:rsid w:val="3C884118"/>
    <w:rsid w:val="43347094"/>
    <w:rsid w:val="453733F0"/>
    <w:rsid w:val="51311C8F"/>
    <w:rsid w:val="555B1CE1"/>
    <w:rsid w:val="657C70F9"/>
    <w:rsid w:val="701364FF"/>
    <w:rsid w:val="74795D94"/>
    <w:rsid w:val="79053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0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Times New Roman" w:hAnsi="Times New Roman" w:eastAsia="仿宋_GB2312" w:cs="Times New Roman"/>
      <w:sz w:val="32"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adjustRightInd w:val="0"/>
      <w:snapToGrid w:val="0"/>
      <w:spacing w:line="240" w:lineRule="atLeast"/>
      <w:jc w:val="left"/>
      <w:textAlignment w:val="baseline"/>
    </w:pPr>
    <w:rPr>
      <w:kern w:val="0"/>
      <w:sz w:val="18"/>
      <w:szCs w:val="18"/>
    </w:rPr>
  </w:style>
  <w:style w:type="paragraph" w:styleId="7">
    <w:name w:val="Body Text First Indent"/>
    <w:basedOn w:val="2"/>
    <w:unhideWhenUsed/>
    <w:qFormat/>
    <w:uiPriority w:val="0"/>
    <w:pPr>
      <w:spacing w:line="440" w:lineRule="exact"/>
      <w:ind w:firstLine="420" w:firstLineChars="200"/>
    </w:pPr>
    <w:rPr>
      <w:szCs w:val="20"/>
    </w:rPr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annotation reference"/>
    <w:basedOn w:val="10"/>
    <w:qFormat/>
    <w:uiPriority w:val="0"/>
    <w:rPr>
      <w:sz w:val="21"/>
      <w:szCs w:val="21"/>
    </w:rPr>
  </w:style>
  <w:style w:type="paragraph" w:customStyle="1" w:styleId="12">
    <w:name w:val="标题 5（有编号）（绿盟科技）"/>
    <w:basedOn w:val="1"/>
    <w:next w:val="13"/>
    <w:qFormat/>
    <w:uiPriority w:val="0"/>
    <w:pPr>
      <w:keepNext/>
      <w:keepLines/>
      <w:numPr>
        <w:ilvl w:val="4"/>
        <w:numId w:val="1"/>
      </w:numPr>
      <w:spacing w:before="280" w:after="156" w:line="377" w:lineRule="auto"/>
      <w:jc w:val="left"/>
      <w:outlineLvl w:val="4"/>
    </w:pPr>
    <w:rPr>
      <w:rFonts w:ascii="Arial" w:hAnsi="Arial" w:eastAsia="黑体"/>
      <w:b/>
      <w:sz w:val="24"/>
      <w:szCs w:val="28"/>
    </w:rPr>
  </w:style>
  <w:style w:type="paragraph" w:customStyle="1" w:styleId="13">
    <w:name w:val="正文（绿盟科技）"/>
    <w:qFormat/>
    <w:uiPriority w:val="0"/>
    <w:pPr>
      <w:spacing w:line="300" w:lineRule="auto"/>
    </w:pPr>
    <w:rPr>
      <w:rFonts w:ascii="Arial" w:hAnsi="Arial" w:eastAsia="宋体" w:cs="黑体"/>
      <w:sz w:val="21"/>
      <w:szCs w:val="21"/>
      <w:lang w:val="en-US" w:eastAsia="zh-CN" w:bidi="ar-SA"/>
    </w:rPr>
  </w:style>
  <w:style w:type="paragraph" w:customStyle="1" w:styleId="14">
    <w:name w:val="列表段落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15">
    <w:name w:val="列出段落2"/>
    <w:basedOn w:val="1"/>
    <w:unhideWhenUsed/>
    <w:qFormat/>
    <w:uiPriority w:val="99"/>
    <w:pPr>
      <w:ind w:firstLine="420" w:firstLineChars="200"/>
    </w:pPr>
  </w:style>
  <w:style w:type="paragraph" w:styleId="16">
    <w:name w:val="List Paragraph"/>
    <w:basedOn w:val="1"/>
    <w:qFormat/>
    <w:uiPriority w:val="99"/>
    <w:pPr>
      <w:ind w:firstLine="420" w:firstLineChars="200"/>
    </w:pPr>
    <w:rPr>
      <w:rFonts w:ascii="Calibri" w:hAnsi="Calibri" w:eastAsia="宋体" w:cs="Times New Roman"/>
      <w:szCs w:val="22"/>
    </w:rPr>
  </w:style>
  <w:style w:type="paragraph" w:customStyle="1" w:styleId="17">
    <w:name w:val="Body text|1"/>
    <w:basedOn w:val="1"/>
    <w:qFormat/>
    <w:uiPriority w:val="0"/>
    <w:pPr>
      <w:spacing w:line="480" w:lineRule="auto"/>
      <w:ind w:firstLine="400"/>
    </w:pPr>
    <w:rPr>
      <w:rFonts w:ascii="宋体" w:hAnsi="宋体" w:cs="宋体"/>
      <w:sz w:val="22"/>
      <w:szCs w:val="22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2022-08-17T05:35:00Z</dcterms:created>
  <dc:creator>Mary</dc:creator>
  <cp:lastModifiedBy>Mary</cp:lastModifiedBy>
  <dcterms:modified xsi:type="dcterms:W3CDTF">2023-09-22T10:23:31Z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2052-11.8.2.9093</vt:lpwstr>
  </property>
</Properties>
</file>