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eastAsia="宋体" w:cs="宋体"/>
        </w:rPr>
      </w:pPr>
      <w:r>
        <w:rPr>
          <w:rFonts w:hint="eastAsia" w:ascii="宋体" w:hAnsi="宋体" w:eastAsia="宋体" w:cs="宋体"/>
        </w:rPr>
        <w:t>2023年四川川投国际网球中心系列国际网球赛事盒饭供应及服务比选公告</w:t>
      </w:r>
    </w:p>
    <w:p>
      <w:pPr>
        <w:rPr>
          <w:rFonts w:hint="eastAsia"/>
        </w:rPr>
      </w:pPr>
    </w:p>
    <w:p>
      <w:pPr>
        <w:spacing w:line="360" w:lineRule="auto"/>
        <w:ind w:firstLine="482" w:firstLineChars="200"/>
        <w:rPr>
          <w:rFonts w:ascii="宋体" w:hAnsi="宋体"/>
          <w:b/>
          <w:sz w:val="24"/>
        </w:rPr>
      </w:pPr>
      <w:r>
        <w:rPr>
          <w:rFonts w:hint="eastAsia" w:ascii="宋体" w:hAnsi="宋体"/>
          <w:b/>
          <w:sz w:val="24"/>
        </w:rPr>
        <w:t>一、比选条件</w:t>
      </w:r>
    </w:p>
    <w:p>
      <w:pPr>
        <w:spacing w:line="360" w:lineRule="auto"/>
        <w:ind w:firstLine="480" w:firstLineChars="200"/>
        <w:rPr>
          <w:rFonts w:ascii="宋体" w:hAnsi="宋体"/>
          <w:sz w:val="24"/>
        </w:rPr>
      </w:pPr>
      <w:r>
        <w:rPr>
          <w:rFonts w:hint="eastAsia" w:ascii="宋体" w:hAnsi="宋体"/>
          <w:sz w:val="24"/>
        </w:rPr>
        <w:t>川投国网公司根据经营需要，拟对2023年四川川投国际网球中心系列国际网球赛事盒饭供应及服务项目进行公开比选。</w:t>
      </w:r>
    </w:p>
    <w:p>
      <w:pPr>
        <w:spacing w:line="360" w:lineRule="auto"/>
        <w:ind w:firstLine="482" w:firstLineChars="200"/>
        <w:rPr>
          <w:rFonts w:ascii="宋体" w:hAnsi="宋体"/>
          <w:b/>
          <w:sz w:val="24"/>
        </w:rPr>
      </w:pPr>
      <w:r>
        <w:rPr>
          <w:rFonts w:hint="eastAsia" w:ascii="宋体" w:hAnsi="宋体"/>
          <w:b/>
          <w:sz w:val="24"/>
        </w:rPr>
        <w:t>二、项目概况与比选范围</w:t>
      </w:r>
    </w:p>
    <w:p>
      <w:pPr>
        <w:spacing w:line="360" w:lineRule="auto"/>
        <w:ind w:firstLine="480" w:firstLineChars="200"/>
        <w:rPr>
          <w:rFonts w:ascii="宋体" w:hAnsi="宋体"/>
          <w:sz w:val="24"/>
        </w:rPr>
      </w:pPr>
      <w:r>
        <w:rPr>
          <w:rFonts w:hint="eastAsia" w:ascii="宋体" w:hAnsi="宋体"/>
          <w:sz w:val="24"/>
        </w:rPr>
        <w:t>1.项目概况:</w:t>
      </w:r>
    </w:p>
    <w:tbl>
      <w:tblPr>
        <w:tblStyle w:val="9"/>
        <w:tblW w:w="8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6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180"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比选人</w:t>
            </w:r>
          </w:p>
        </w:tc>
        <w:tc>
          <w:tcPr>
            <w:tcW w:w="6482"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四川川投国际网球中心开发有限责任公司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2180"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6482"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2023年四川川投国际网球中心系列国际网球赛事盒饭供应及服务项目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2180"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盒饭供应</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主要时间</w:t>
            </w:r>
          </w:p>
        </w:tc>
        <w:tc>
          <w:tcPr>
            <w:tcW w:w="6482"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1、2023年9月18--26日；</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2、2023年10月16--22日；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2180"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盒饭供应</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预计数量及人数</w:t>
            </w:r>
          </w:p>
        </w:tc>
        <w:tc>
          <w:tcPr>
            <w:tcW w:w="6482" w:type="dxa"/>
            <w:noWrap w:val="0"/>
            <w:vAlign w:val="center"/>
          </w:tcPr>
          <w:p>
            <w:pPr>
              <w:numPr>
                <w:ilvl w:val="0"/>
                <w:numId w:val="2"/>
              </w:numPr>
              <w:spacing w:line="360" w:lineRule="auto"/>
              <w:jc w:val="center"/>
              <w:rPr>
                <w:rFonts w:hint="eastAsia" w:ascii="宋体" w:hAnsi="宋体" w:eastAsia="宋体" w:cs="宋体"/>
                <w:sz w:val="24"/>
                <w:szCs w:val="24"/>
              </w:rPr>
            </w:pPr>
            <w:r>
              <w:rPr>
                <w:rFonts w:hint="eastAsia" w:ascii="宋体" w:hAnsi="宋体" w:eastAsia="宋体" w:cs="宋体"/>
                <w:sz w:val="24"/>
                <w:szCs w:val="24"/>
              </w:rPr>
              <w:t>总份数预计为15000份；</w:t>
            </w:r>
          </w:p>
          <w:p>
            <w:pPr>
              <w:numPr>
                <w:ilvl w:val="0"/>
                <w:numId w:val="2"/>
              </w:numPr>
              <w:spacing w:line="360" w:lineRule="auto"/>
              <w:jc w:val="center"/>
              <w:rPr>
                <w:rFonts w:hint="eastAsia" w:ascii="宋体" w:hAnsi="宋体" w:eastAsia="宋体" w:cs="宋体"/>
                <w:sz w:val="24"/>
                <w:szCs w:val="24"/>
              </w:rPr>
            </w:pPr>
            <w:r>
              <w:rPr>
                <w:rFonts w:hint="eastAsia" w:ascii="宋体" w:hAnsi="宋体" w:eastAsia="宋体" w:cs="宋体"/>
                <w:sz w:val="24"/>
                <w:szCs w:val="24"/>
              </w:rPr>
              <w:t>每日预计吃饭人数：300-350人；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2180" w:type="dxa"/>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盒饭标准</w:t>
            </w:r>
          </w:p>
        </w:tc>
        <w:tc>
          <w:tcPr>
            <w:tcW w:w="6482" w:type="dxa"/>
            <w:noWrap w:val="0"/>
            <w:vAlign w:val="center"/>
          </w:tcPr>
          <w:p>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u w:val="none"/>
              </w:rPr>
              <w:t>2 荤 2 素的中式菜品或盖饭套餐</w:t>
            </w:r>
            <w:r>
              <w:rPr>
                <w:rFonts w:hint="eastAsia" w:ascii="宋体" w:hAnsi="宋体" w:eastAsia="宋体" w:cs="宋体"/>
                <w:sz w:val="24"/>
                <w:szCs w:val="24"/>
                <w:u w:val="none"/>
                <w:lang w:eastAsia="zh-CN"/>
              </w:rPr>
              <w:t>（荤菜中肉重量不低于</w:t>
            </w:r>
            <w:r>
              <w:rPr>
                <w:rFonts w:hint="eastAsia" w:ascii="宋体" w:hAnsi="宋体" w:eastAsia="宋体" w:cs="宋体"/>
                <w:sz w:val="24"/>
                <w:szCs w:val="24"/>
                <w:u w:val="none"/>
                <w:lang w:val="en-US" w:eastAsia="zh-CN"/>
              </w:rPr>
              <w:t>180克，素菜中素菜重量不低于160克</w:t>
            </w:r>
            <w:r>
              <w:rPr>
                <w:rFonts w:hint="eastAsia" w:ascii="宋体" w:hAnsi="宋体" w:eastAsia="宋体" w:cs="宋体"/>
                <w:sz w:val="24"/>
                <w:szCs w:val="24"/>
                <w:u w:val="none"/>
                <w:lang w:eastAsia="zh-CN"/>
              </w:rPr>
              <w:t>）</w:t>
            </w:r>
            <w:r>
              <w:rPr>
                <w:rFonts w:hint="eastAsia" w:ascii="宋体" w:hAnsi="宋体" w:eastAsia="宋体" w:cs="宋体"/>
                <w:sz w:val="24"/>
                <w:szCs w:val="24"/>
                <w:u w:val="none"/>
              </w:rPr>
              <w:t>，每份配送水果一种【按时令季节提供】或者饮料一份，并配送</w:t>
            </w:r>
            <w:r>
              <w:rPr>
                <w:rFonts w:hint="eastAsia" w:ascii="宋体" w:hAnsi="宋体" w:eastAsia="宋体" w:cs="宋体"/>
                <w:sz w:val="24"/>
                <w:szCs w:val="24"/>
                <w:u w:val="none"/>
                <w:lang w:eastAsia="zh-CN"/>
              </w:rPr>
              <w:t>配</w:t>
            </w:r>
            <w:r>
              <w:rPr>
                <w:rFonts w:hint="eastAsia" w:ascii="宋体" w:hAnsi="宋体" w:eastAsia="宋体" w:cs="宋体"/>
                <w:sz w:val="24"/>
                <w:szCs w:val="24"/>
                <w:u w:val="none"/>
              </w:rPr>
              <w:t>菜保证饭菜数量充足（要求米饭不限量供应）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2180" w:type="dxa"/>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盒饭单价</w:t>
            </w:r>
            <w:r>
              <w:rPr>
                <w:rFonts w:hint="eastAsia" w:ascii="宋体" w:hAnsi="宋体" w:eastAsia="宋体" w:cs="宋体"/>
                <w:sz w:val="24"/>
                <w:szCs w:val="24"/>
                <w:lang w:eastAsia="zh-CN"/>
              </w:rPr>
              <w:t>最高限价</w:t>
            </w:r>
          </w:p>
        </w:tc>
        <w:tc>
          <w:tcPr>
            <w:tcW w:w="6482"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30</w:t>
            </w:r>
            <w:r>
              <w:rPr>
                <w:rFonts w:hint="eastAsia" w:ascii="宋体" w:hAnsi="宋体" w:eastAsia="宋体" w:cs="宋体"/>
                <w:sz w:val="24"/>
                <w:szCs w:val="24"/>
              </w:rPr>
              <w:t>元/份</w:t>
            </w:r>
          </w:p>
        </w:tc>
      </w:tr>
    </w:tbl>
    <w:p>
      <w:pPr>
        <w:spacing w:line="360" w:lineRule="auto"/>
        <w:ind w:firstLine="480" w:firstLineChars="200"/>
        <w:rPr>
          <w:rFonts w:ascii="宋体" w:hAnsi="宋体"/>
          <w:sz w:val="24"/>
        </w:rPr>
      </w:pPr>
      <w:r>
        <w:rPr>
          <w:rFonts w:hint="eastAsia" w:ascii="宋体" w:hAnsi="宋体"/>
          <w:sz w:val="24"/>
        </w:rPr>
        <w:t>2.比选内容</w:t>
      </w:r>
    </w:p>
    <w:p>
      <w:pPr>
        <w:spacing w:line="360" w:lineRule="auto"/>
        <w:ind w:firstLine="600" w:firstLineChars="250"/>
        <w:rPr>
          <w:rFonts w:ascii="宋体" w:hAnsi="宋体"/>
          <w:sz w:val="24"/>
        </w:rPr>
      </w:pPr>
      <w:r>
        <w:rPr>
          <w:rFonts w:hint="eastAsia" w:ascii="宋体" w:hAnsi="宋体"/>
          <w:sz w:val="24"/>
        </w:rPr>
        <w:t>参选人为比选人提供2023年四川川投国际网球中心系列国际网球赛事盒饭供应及服务。</w:t>
      </w:r>
    </w:p>
    <w:p>
      <w:pPr>
        <w:spacing w:line="360" w:lineRule="auto"/>
        <w:ind w:firstLine="482" w:firstLineChars="200"/>
        <w:rPr>
          <w:rFonts w:ascii="宋体" w:hAnsi="宋体"/>
          <w:b/>
          <w:sz w:val="24"/>
        </w:rPr>
      </w:pPr>
      <w:r>
        <w:rPr>
          <w:rFonts w:hint="eastAsia" w:ascii="宋体" w:hAnsi="宋体"/>
          <w:b/>
          <w:sz w:val="24"/>
        </w:rPr>
        <w:t>三、参选人资格要求</w:t>
      </w:r>
    </w:p>
    <w:p>
      <w:pPr>
        <w:spacing w:line="360" w:lineRule="auto"/>
        <w:ind w:firstLine="480" w:firstLineChars="200"/>
        <w:rPr>
          <w:rFonts w:hint="eastAsia" w:ascii="宋体" w:hAnsi="宋体"/>
          <w:sz w:val="24"/>
        </w:rPr>
      </w:pPr>
      <w:r>
        <w:rPr>
          <w:rFonts w:hint="eastAsia" w:ascii="宋体" w:hAnsi="宋体"/>
          <w:sz w:val="24"/>
        </w:rPr>
        <w:t>1.比选申请人具有独立法人资格。具有</w:t>
      </w:r>
      <w:r>
        <w:rPr>
          <w:rFonts w:hint="eastAsia" w:ascii="宋体" w:hAnsi="宋体"/>
          <w:sz w:val="24"/>
          <w:lang w:val="en-US" w:eastAsia="zh-CN"/>
        </w:rPr>
        <w:t>食品供应</w:t>
      </w:r>
      <w:r>
        <w:rPr>
          <w:rFonts w:hint="eastAsia" w:ascii="宋体" w:hAnsi="宋体"/>
          <w:sz w:val="24"/>
        </w:rPr>
        <w:t>的经营范围，企业注册资金不低于100万元人民币。并提供营业执照、企业介绍等资料（需提供复印件）；</w:t>
      </w:r>
    </w:p>
    <w:p>
      <w:pPr>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2.最近两年财务状况良好，未处于财产被接管、冻结、破产状态（提供承诺函）</w:t>
      </w:r>
      <w:r>
        <w:rPr>
          <w:rFonts w:hint="eastAsia" w:ascii="宋体" w:hAnsi="宋体" w:eastAsia="宋体" w:cs="Times New Roman"/>
          <w:sz w:val="24"/>
          <w:lang w:eastAsia="zh-CN"/>
        </w:rPr>
        <w:t>；</w:t>
      </w:r>
    </w:p>
    <w:p>
      <w:pPr>
        <w:numPr>
          <w:ilvl w:val="0"/>
          <w:numId w:val="0"/>
        </w:numPr>
        <w:spacing w:line="360" w:lineRule="auto"/>
        <w:ind w:firstLine="480" w:firstLineChars="200"/>
        <w:rPr>
          <w:rFonts w:hint="eastAsia" w:ascii="宋体" w:hAnsi="宋体"/>
          <w:sz w:val="24"/>
        </w:rPr>
      </w:pPr>
      <w:r>
        <w:rPr>
          <w:rFonts w:hint="eastAsia" w:ascii="宋体" w:hAnsi="宋体"/>
          <w:sz w:val="24"/>
        </w:rPr>
        <w:t>3.信誉良好，最近</w:t>
      </w:r>
      <w:r>
        <w:rPr>
          <w:rFonts w:hint="eastAsia" w:ascii="宋体" w:hAnsi="宋体"/>
          <w:sz w:val="24"/>
          <w:lang w:val="en-US" w:eastAsia="zh-CN"/>
        </w:rPr>
        <w:t>三</w:t>
      </w:r>
      <w:r>
        <w:rPr>
          <w:rFonts w:hint="eastAsia" w:ascii="宋体" w:hAnsi="宋体"/>
          <w:sz w:val="24"/>
        </w:rPr>
        <w:t>年</w:t>
      </w:r>
      <w:r>
        <w:rPr>
          <w:rFonts w:hint="eastAsia" w:ascii="宋体" w:hAnsi="宋体"/>
          <w:sz w:val="24"/>
          <w:lang w:eastAsia="zh-CN"/>
        </w:rPr>
        <w:t>（</w:t>
      </w:r>
      <w:r>
        <w:rPr>
          <w:rFonts w:hint="eastAsia" w:ascii="宋体" w:hAnsi="宋体"/>
          <w:sz w:val="24"/>
          <w:lang w:val="en-US" w:eastAsia="zh-CN"/>
        </w:rPr>
        <w:t>2020年1月1日-至今</w:t>
      </w:r>
      <w:r>
        <w:rPr>
          <w:rFonts w:hint="eastAsia" w:ascii="宋体" w:hAnsi="宋体"/>
          <w:sz w:val="24"/>
          <w:lang w:eastAsia="zh-CN"/>
        </w:rPr>
        <w:t>）</w:t>
      </w:r>
      <w:r>
        <w:rPr>
          <w:rFonts w:hint="eastAsia" w:ascii="宋体" w:hAnsi="宋体"/>
          <w:sz w:val="24"/>
        </w:rPr>
        <w:t>无违法违规行为，无行业处罚、惩戒等不良执业记录及不良反映</w:t>
      </w:r>
      <w:r>
        <w:rPr>
          <w:rFonts w:hint="eastAsia" w:ascii="宋体" w:hAnsi="宋体"/>
          <w:sz w:val="24"/>
          <w:lang w:eastAsia="zh-CN"/>
        </w:rPr>
        <w:t>（</w:t>
      </w:r>
      <w:r>
        <w:rPr>
          <w:rFonts w:hint="eastAsia" w:ascii="宋体" w:hAnsi="宋体"/>
          <w:sz w:val="24"/>
          <w:lang w:val="en-US" w:eastAsia="zh-CN"/>
        </w:rPr>
        <w:t>提供承诺函）</w:t>
      </w:r>
      <w:r>
        <w:rPr>
          <w:rFonts w:hint="eastAsia" w:ascii="宋体" w:hAnsi="宋体"/>
          <w:sz w:val="24"/>
          <w:lang w:eastAsia="zh-CN"/>
        </w:rPr>
        <w:t>；</w:t>
      </w:r>
      <w:r>
        <w:rPr>
          <w:rFonts w:hint="eastAsia" w:ascii="宋体" w:hAnsi="宋体"/>
          <w:sz w:val="24"/>
        </w:rPr>
        <w:t>未被人民法院列为失信被执行人</w:t>
      </w:r>
      <w:r>
        <w:rPr>
          <w:rFonts w:hint="eastAsia" w:ascii="宋体" w:hAnsi="宋体" w:eastAsia="宋体" w:cs="Times New Roman"/>
          <w:sz w:val="24"/>
          <w:szCs w:val="24"/>
        </w:rPr>
        <w:t>（</w:t>
      </w:r>
      <w:r>
        <w:rPr>
          <w:rFonts w:hint="eastAsia" w:ascii="宋体" w:hAnsi="宋体" w:eastAsia="宋体" w:cs="Times New Roman"/>
          <w:sz w:val="24"/>
          <w:szCs w:val="24"/>
          <w:lang w:eastAsia="zh-CN"/>
        </w:rPr>
        <w:t>提供</w:t>
      </w:r>
      <w:r>
        <w:rPr>
          <w:rFonts w:hint="eastAsia" w:ascii="宋体" w:hAnsi="宋体" w:eastAsia="宋体" w:cs="Times New Roman"/>
          <w:sz w:val="24"/>
          <w:szCs w:val="24"/>
        </w:rPr>
        <w:t>“中国执行信息公开网”网站zxgk.court.gov.cn/</w:t>
      </w:r>
      <w:r>
        <w:rPr>
          <w:rFonts w:hint="eastAsia" w:ascii="宋体" w:hAnsi="宋体" w:eastAsia="宋体" w:cs="Times New Roman"/>
          <w:sz w:val="24"/>
          <w:szCs w:val="24"/>
          <w:lang w:val="en-US" w:eastAsia="zh-CN"/>
        </w:rPr>
        <w:t>最新</w:t>
      </w:r>
      <w:r>
        <w:rPr>
          <w:rFonts w:hint="eastAsia" w:ascii="宋体" w:hAnsi="宋体" w:eastAsia="宋体" w:cs="Times New Roman"/>
          <w:sz w:val="24"/>
          <w:szCs w:val="24"/>
        </w:rPr>
        <w:t>查询</w:t>
      </w:r>
      <w:r>
        <w:rPr>
          <w:rFonts w:hint="eastAsia" w:ascii="宋体" w:hAnsi="宋体" w:eastAsia="宋体" w:cs="Times New Roman"/>
          <w:sz w:val="24"/>
          <w:szCs w:val="24"/>
          <w:lang w:eastAsia="zh-CN"/>
        </w:rPr>
        <w:t>截图</w:t>
      </w:r>
      <w:r>
        <w:rPr>
          <w:rFonts w:hint="eastAsia" w:ascii="宋体" w:hAnsi="宋体" w:eastAsia="宋体" w:cs="Times New Roman"/>
          <w:sz w:val="24"/>
          <w:szCs w:val="24"/>
        </w:rPr>
        <w:t>）</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提供</w:t>
      </w:r>
      <w:r>
        <w:rPr>
          <w:rFonts w:hint="eastAsia" w:ascii="宋体" w:hAnsi="宋体" w:eastAsia="宋体" w:cs="Times New Roman"/>
          <w:bCs w:val="0"/>
          <w:sz w:val="24"/>
          <w:szCs w:val="24"/>
        </w:rPr>
        <w:t>“国家企业信用信息公示系统”下载的最新企业信用信息公示报告</w:t>
      </w:r>
      <w:r>
        <w:rPr>
          <w:rFonts w:hint="eastAsia" w:ascii="宋体" w:hAnsi="宋体" w:eastAsia="宋体" w:cs="Times New Roman"/>
          <w:bCs w:val="0"/>
          <w:sz w:val="24"/>
          <w:szCs w:val="24"/>
          <w:lang w:val="en-US" w:eastAsia="zh-CN"/>
        </w:rPr>
        <w:t>等；</w:t>
      </w:r>
    </w:p>
    <w:p>
      <w:pPr>
        <w:spacing w:line="360" w:lineRule="auto"/>
        <w:ind w:firstLine="480" w:firstLineChars="200"/>
        <w:rPr>
          <w:rFonts w:hint="eastAsia" w:ascii="宋体" w:hAnsi="宋体"/>
          <w:sz w:val="24"/>
        </w:rPr>
      </w:pPr>
      <w:r>
        <w:rPr>
          <w:rFonts w:hint="eastAsia" w:ascii="宋体" w:hAnsi="宋体"/>
          <w:sz w:val="24"/>
        </w:rPr>
        <w:t>4.企业20</w:t>
      </w:r>
      <w:r>
        <w:rPr>
          <w:rFonts w:hint="eastAsia" w:ascii="宋体" w:hAnsi="宋体"/>
          <w:sz w:val="24"/>
          <w:lang w:val="en-US" w:eastAsia="zh-CN"/>
        </w:rPr>
        <w:t>19</w:t>
      </w:r>
      <w:r>
        <w:rPr>
          <w:rFonts w:hint="eastAsia" w:ascii="宋体" w:hAnsi="宋体"/>
          <w:sz w:val="24"/>
        </w:rPr>
        <w:t>年以来2个及以上大型活动盒饭供应类似业绩（需提供供货合同</w:t>
      </w:r>
      <w:r>
        <w:rPr>
          <w:rFonts w:hint="eastAsia" w:ascii="宋体" w:hAnsi="宋体"/>
          <w:sz w:val="24"/>
          <w:lang w:eastAsia="zh-CN"/>
        </w:rPr>
        <w:t>，</w:t>
      </w:r>
      <w:r>
        <w:rPr>
          <w:rFonts w:hint="eastAsia" w:ascii="宋体" w:hAnsi="宋体" w:eastAsia="宋体" w:cs="Times New Roman"/>
          <w:sz w:val="24"/>
          <w:lang w:eastAsia="zh-CN"/>
        </w:rPr>
        <w:t>提供</w:t>
      </w:r>
      <w:r>
        <w:rPr>
          <w:rFonts w:hint="eastAsia" w:ascii="宋体" w:hAnsi="宋体" w:eastAsia="宋体" w:cs="Times New Roman"/>
          <w:sz w:val="24"/>
          <w:lang w:val="en-US" w:eastAsia="zh-Hans"/>
        </w:rPr>
        <w:t>加盖公司鲜章的</w:t>
      </w:r>
      <w:r>
        <w:rPr>
          <w:rFonts w:hint="eastAsia" w:ascii="宋体" w:hAnsi="宋体" w:eastAsia="宋体" w:cs="Times New Roman"/>
          <w:sz w:val="24"/>
          <w:lang w:eastAsia="zh-CN"/>
        </w:rPr>
        <w:t>合同复印件，合同复印件须包括合同服务内容、实施时间、合同金额、合同签章页等，证明材料不全无法确定为相关业绩的，不予认可</w:t>
      </w:r>
      <w:r>
        <w:rPr>
          <w:rFonts w:hint="eastAsia" w:ascii="宋体" w:hAnsi="宋体"/>
          <w:sz w:val="24"/>
        </w:rPr>
        <w:t>）；</w:t>
      </w:r>
    </w:p>
    <w:p>
      <w:pPr>
        <w:spacing w:line="360" w:lineRule="auto"/>
        <w:ind w:firstLine="480" w:firstLineChars="200"/>
        <w:rPr>
          <w:rFonts w:hint="eastAsia"/>
          <w:sz w:val="24"/>
        </w:rPr>
      </w:pPr>
      <w:r>
        <w:rPr>
          <w:rFonts w:hint="eastAsia" w:ascii="宋体" w:hAnsi="宋体"/>
          <w:sz w:val="24"/>
          <w:lang w:eastAsia="zh-CN"/>
        </w:rPr>
        <w:t>5</w:t>
      </w:r>
      <w:r>
        <w:rPr>
          <w:rFonts w:hint="eastAsia" w:ascii="宋体" w:hAnsi="宋体"/>
          <w:sz w:val="24"/>
        </w:rPr>
        <w:t>.</w:t>
      </w:r>
      <w:r>
        <w:rPr>
          <w:rFonts w:hint="eastAsia" w:ascii="宋体" w:hAnsi="宋体" w:eastAsia="宋体" w:cs="宋体"/>
          <w:color w:val="000000"/>
          <w:sz w:val="24"/>
          <w:szCs w:val="24"/>
        </w:rPr>
        <w:t>比选申请人企业拥有餐饮配送（外送）的相关资质</w:t>
      </w:r>
      <w:r>
        <w:rPr>
          <w:rFonts w:hint="eastAsia" w:ascii="宋体" w:hAnsi="宋体"/>
          <w:sz w:val="24"/>
          <w:lang w:eastAsia="zh-CN"/>
        </w:rPr>
        <w:t>，</w:t>
      </w:r>
      <w:r>
        <w:rPr>
          <w:rFonts w:hint="eastAsia" w:ascii="宋体" w:hAnsi="宋体" w:eastAsia="宋体" w:cs="宋体"/>
          <w:color w:val="000000"/>
          <w:sz w:val="24"/>
          <w:szCs w:val="24"/>
        </w:rPr>
        <w:t>比选申请人企业的食品加工场所、规模符合国家食品卫生法的相关规定</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须提供</w:t>
      </w:r>
      <w:r>
        <w:rPr>
          <w:rFonts w:hint="eastAsia" w:ascii="宋体" w:hAnsi="宋体" w:cs="仿宋_GB2312"/>
          <w:bCs/>
          <w:sz w:val="24"/>
        </w:rPr>
        <w:t>食品</w:t>
      </w:r>
      <w:r>
        <w:rPr>
          <w:rFonts w:hint="eastAsia" w:ascii="宋体" w:hAnsi="宋体" w:cs="仿宋_GB2312"/>
          <w:bCs/>
          <w:sz w:val="24"/>
          <w:lang w:val="en-US" w:eastAsia="zh-CN"/>
        </w:rPr>
        <w:t>经营</w:t>
      </w:r>
      <w:r>
        <w:rPr>
          <w:rFonts w:hint="eastAsia" w:ascii="宋体" w:hAnsi="宋体" w:cs="仿宋_GB2312"/>
          <w:bCs/>
          <w:sz w:val="24"/>
        </w:rPr>
        <w:t>许可证</w:t>
      </w:r>
      <w:r>
        <w:rPr>
          <w:rFonts w:hint="eastAsia" w:ascii="宋体" w:hAnsi="宋体" w:eastAsia="宋体" w:cs="宋体"/>
          <w:color w:val="000000"/>
          <w:sz w:val="24"/>
          <w:szCs w:val="24"/>
          <w:lang w:val="en-US" w:eastAsia="zh-CN"/>
        </w:rPr>
        <w:t>等相关证件</w:t>
      </w:r>
      <w:r>
        <w:rPr>
          <w:rFonts w:hint="eastAsia" w:ascii="宋体" w:hAnsi="宋体"/>
          <w:sz w:val="24"/>
        </w:rPr>
        <w:t>；</w:t>
      </w:r>
    </w:p>
    <w:p>
      <w:pPr>
        <w:spacing w:line="360" w:lineRule="auto"/>
        <w:ind w:firstLine="480" w:firstLineChars="200"/>
        <w:rPr>
          <w:rFonts w:hint="eastAsia" w:ascii="宋体" w:hAnsi="宋体"/>
          <w:sz w:val="24"/>
        </w:rPr>
      </w:pPr>
      <w:r>
        <w:rPr>
          <w:rFonts w:hint="eastAsia" w:ascii="宋体" w:hAnsi="宋体"/>
          <w:sz w:val="24"/>
          <w:lang w:val="en-US" w:eastAsia="zh-CN"/>
        </w:rPr>
        <w:t>6</w:t>
      </w:r>
      <w:r>
        <w:rPr>
          <w:rFonts w:hint="eastAsia" w:ascii="宋体" w:hAnsi="宋体"/>
          <w:sz w:val="24"/>
        </w:rPr>
        <w:t>.本次比选不接受联合体投标。</w:t>
      </w:r>
    </w:p>
    <w:p>
      <w:pPr>
        <w:spacing w:line="360" w:lineRule="auto"/>
        <w:ind w:firstLine="482" w:firstLineChars="200"/>
        <w:rPr>
          <w:rFonts w:ascii="宋体" w:hAnsi="宋体"/>
          <w:b/>
          <w:sz w:val="24"/>
        </w:rPr>
      </w:pPr>
      <w:r>
        <w:rPr>
          <w:rFonts w:hint="eastAsia" w:ascii="宋体" w:hAnsi="宋体"/>
          <w:b/>
          <w:sz w:val="24"/>
        </w:rPr>
        <w:t>四、比选文件的获取</w:t>
      </w:r>
    </w:p>
    <w:p>
      <w:pPr>
        <w:spacing w:line="360" w:lineRule="auto"/>
        <w:ind w:firstLine="480" w:firstLineChars="200"/>
        <w:rPr>
          <w:rFonts w:hint="eastAsia" w:ascii="宋体" w:hAnsi="宋体" w:cs="宋体"/>
          <w:sz w:val="24"/>
        </w:rPr>
      </w:pPr>
      <w:r>
        <w:rPr>
          <w:rFonts w:hint="eastAsia" w:ascii="宋体" w:hAnsi="宋体" w:cs="宋体"/>
          <w:sz w:val="24"/>
        </w:rPr>
        <w:t>参选人请于</w:t>
      </w:r>
      <w:r>
        <w:rPr>
          <w:rFonts w:hint="eastAsia" w:ascii="宋体" w:hAnsi="宋体" w:cs="宋体"/>
          <w:b/>
          <w:bCs/>
          <w:sz w:val="24"/>
          <w:u w:val="single"/>
        </w:rPr>
        <w:t>2023年</w:t>
      </w:r>
      <w:r>
        <w:rPr>
          <w:rFonts w:hint="eastAsia" w:ascii="宋体" w:hAnsi="宋体" w:cs="宋体"/>
          <w:b/>
          <w:bCs/>
          <w:sz w:val="24"/>
          <w:u w:val="single"/>
          <w:lang w:val="en-US" w:eastAsia="zh-CN"/>
        </w:rPr>
        <w:t>5</w:t>
      </w:r>
      <w:r>
        <w:rPr>
          <w:rFonts w:hint="eastAsia" w:ascii="宋体" w:hAnsi="宋体" w:cs="宋体"/>
          <w:b/>
          <w:bCs/>
          <w:sz w:val="24"/>
          <w:u w:val="single"/>
        </w:rPr>
        <w:t>月</w:t>
      </w:r>
      <w:r>
        <w:rPr>
          <w:rFonts w:hint="eastAsia" w:ascii="宋体" w:hAnsi="宋体" w:cs="宋体"/>
          <w:b/>
          <w:bCs/>
          <w:sz w:val="24"/>
          <w:u w:val="single"/>
          <w:lang w:val="en-US" w:eastAsia="zh-CN"/>
        </w:rPr>
        <w:t>18</w:t>
      </w:r>
      <w:r>
        <w:rPr>
          <w:rFonts w:hint="eastAsia" w:ascii="宋体" w:hAnsi="宋体" w:cs="宋体"/>
          <w:b/>
          <w:bCs/>
          <w:sz w:val="24"/>
          <w:u w:val="single"/>
        </w:rPr>
        <w:t>日至2023年</w:t>
      </w:r>
      <w:r>
        <w:rPr>
          <w:rFonts w:hint="eastAsia" w:ascii="宋体" w:hAnsi="宋体" w:cs="宋体"/>
          <w:b/>
          <w:bCs/>
          <w:sz w:val="24"/>
          <w:u w:val="single"/>
          <w:lang w:val="en-US" w:eastAsia="zh-CN"/>
        </w:rPr>
        <w:t>5</w:t>
      </w:r>
      <w:r>
        <w:rPr>
          <w:rFonts w:hint="eastAsia" w:ascii="宋体" w:hAnsi="宋体" w:cs="宋体"/>
          <w:b/>
          <w:bCs/>
          <w:sz w:val="24"/>
          <w:u w:val="single"/>
        </w:rPr>
        <w:t>月</w:t>
      </w:r>
      <w:r>
        <w:rPr>
          <w:rFonts w:hint="eastAsia" w:ascii="宋体" w:hAnsi="宋体" w:cs="宋体"/>
          <w:b/>
          <w:bCs/>
          <w:sz w:val="24"/>
          <w:u w:val="single"/>
          <w:lang w:val="en-US" w:eastAsia="zh-CN"/>
        </w:rPr>
        <w:t>24</w:t>
      </w:r>
      <w:r>
        <w:rPr>
          <w:rFonts w:hint="eastAsia" w:ascii="宋体" w:hAnsi="宋体" w:cs="宋体"/>
          <w:b/>
          <w:bCs/>
          <w:sz w:val="24"/>
          <w:u w:val="single"/>
        </w:rPr>
        <w:t>日17:00时</w:t>
      </w:r>
      <w:r>
        <w:rPr>
          <w:rFonts w:hint="eastAsia" w:ascii="宋体" w:hAnsi="宋体" w:cs="宋体"/>
          <w:sz w:val="24"/>
        </w:rPr>
        <w:t>（北京时间，下同），通过天府阳光采购服务平台（http://scig.tfygcgfw.com/）报名获取比选文件。</w:t>
      </w:r>
    </w:p>
    <w:p>
      <w:pPr>
        <w:spacing w:line="360" w:lineRule="auto"/>
        <w:ind w:firstLine="482" w:firstLineChars="200"/>
        <w:rPr>
          <w:rFonts w:ascii="宋体" w:hAnsi="宋体"/>
          <w:b/>
          <w:sz w:val="24"/>
        </w:rPr>
      </w:pPr>
      <w:r>
        <w:rPr>
          <w:rFonts w:hint="eastAsia" w:ascii="宋体" w:hAnsi="宋体"/>
          <w:b/>
          <w:sz w:val="24"/>
        </w:rPr>
        <w:t>五、参选文件的递交</w:t>
      </w:r>
    </w:p>
    <w:p>
      <w:pPr>
        <w:spacing w:line="360" w:lineRule="auto"/>
        <w:ind w:firstLine="480" w:firstLineChars="200"/>
        <w:rPr>
          <w:rFonts w:ascii="宋体" w:hAnsi="宋体"/>
          <w:color w:val="000000"/>
          <w:sz w:val="24"/>
        </w:rPr>
      </w:pPr>
      <w:r>
        <w:rPr>
          <w:rFonts w:hint="eastAsia" w:ascii="宋体" w:hAnsi="宋体"/>
          <w:sz w:val="24"/>
        </w:rPr>
        <w:t>1.</w:t>
      </w:r>
      <w:r>
        <w:rPr>
          <w:rFonts w:hint="eastAsia" w:ascii="宋体" w:hAnsi="宋体"/>
          <w:color w:val="000000"/>
          <w:sz w:val="24"/>
          <w:highlight w:val="none"/>
        </w:rPr>
        <w:t>参选文件递交时间为</w:t>
      </w:r>
      <w:r>
        <w:rPr>
          <w:rFonts w:hint="eastAsia" w:ascii="宋体" w:hAnsi="宋体"/>
          <w:b/>
          <w:bCs/>
          <w:color w:val="000000"/>
          <w:sz w:val="24"/>
          <w:highlight w:val="none"/>
          <w:u w:val="single"/>
        </w:rPr>
        <w:t>2023年</w:t>
      </w:r>
      <w:r>
        <w:rPr>
          <w:rFonts w:hint="eastAsia" w:ascii="宋体" w:hAnsi="宋体"/>
          <w:b/>
          <w:bCs/>
          <w:sz w:val="24"/>
          <w:highlight w:val="none"/>
          <w:u w:val="single"/>
          <w:lang w:val="en-US" w:eastAsia="zh-CN"/>
        </w:rPr>
        <w:t>5</w:t>
      </w:r>
      <w:r>
        <w:rPr>
          <w:rFonts w:hint="eastAsia" w:ascii="宋体" w:hAnsi="宋体"/>
          <w:b/>
          <w:bCs/>
          <w:color w:val="000000"/>
          <w:sz w:val="24"/>
          <w:highlight w:val="none"/>
          <w:u w:val="single"/>
        </w:rPr>
        <w:t>月</w:t>
      </w:r>
      <w:r>
        <w:rPr>
          <w:rFonts w:hint="eastAsia" w:ascii="宋体" w:hAnsi="宋体"/>
          <w:b/>
          <w:bCs/>
          <w:sz w:val="24"/>
          <w:highlight w:val="none"/>
          <w:u w:val="single"/>
          <w:lang w:val="en-US" w:eastAsia="zh-CN"/>
        </w:rPr>
        <w:t>26</w:t>
      </w:r>
      <w:r>
        <w:rPr>
          <w:rFonts w:hint="eastAsia" w:ascii="宋体" w:hAnsi="宋体"/>
          <w:b/>
          <w:bCs/>
          <w:color w:val="000000"/>
          <w:sz w:val="24"/>
          <w:highlight w:val="none"/>
          <w:u w:val="single"/>
        </w:rPr>
        <w:t>日</w:t>
      </w:r>
      <w:r>
        <w:rPr>
          <w:rFonts w:hint="eastAsia" w:ascii="宋体" w:hAnsi="宋体"/>
          <w:b/>
          <w:bCs/>
          <w:sz w:val="24"/>
          <w:highlight w:val="none"/>
          <w:u w:val="single"/>
          <w:lang w:val="en-US" w:eastAsia="zh-CN"/>
        </w:rPr>
        <w:t>10</w:t>
      </w:r>
      <w:r>
        <w:rPr>
          <w:rFonts w:hint="eastAsia" w:ascii="宋体" w:hAnsi="宋体"/>
          <w:b/>
          <w:bCs/>
          <w:color w:val="000000"/>
          <w:sz w:val="24"/>
          <w:highlight w:val="none"/>
          <w:u w:val="single"/>
        </w:rPr>
        <w:t>时</w:t>
      </w:r>
      <w:r>
        <w:rPr>
          <w:rFonts w:hint="eastAsia" w:ascii="宋体" w:hAnsi="宋体"/>
          <w:b/>
          <w:bCs/>
          <w:sz w:val="24"/>
          <w:highlight w:val="none"/>
          <w:u w:val="single"/>
          <w:lang w:val="en-US" w:eastAsia="zh-CN"/>
        </w:rPr>
        <w:t>00</w:t>
      </w:r>
      <w:r>
        <w:rPr>
          <w:rFonts w:hint="eastAsia" w:ascii="宋体" w:hAnsi="宋体"/>
          <w:b/>
          <w:bCs/>
          <w:color w:val="000000"/>
          <w:sz w:val="24"/>
          <w:highlight w:val="none"/>
          <w:u w:val="single"/>
        </w:rPr>
        <w:t>分</w:t>
      </w:r>
      <w:r>
        <w:rPr>
          <w:rFonts w:hint="eastAsia" w:ascii="宋体" w:hAnsi="宋体"/>
          <w:color w:val="000000"/>
          <w:sz w:val="24"/>
          <w:highlight w:val="none"/>
        </w:rPr>
        <w:t>，地点为</w:t>
      </w:r>
      <w:r>
        <w:rPr>
          <w:rFonts w:hint="eastAsia" w:ascii="宋体" w:hAnsi="宋体"/>
          <w:b/>
          <w:bCs/>
          <w:color w:val="000000"/>
          <w:sz w:val="24"/>
          <w:highlight w:val="none"/>
          <w:u w:val="single"/>
        </w:rPr>
        <w:t>成都</w:t>
      </w:r>
      <w:r>
        <w:rPr>
          <w:rFonts w:hint="eastAsia" w:ascii="宋体" w:hAnsi="宋体"/>
          <w:b/>
          <w:bCs/>
          <w:color w:val="000000"/>
          <w:sz w:val="24"/>
          <w:u w:val="single"/>
        </w:rPr>
        <w:t>市双流区金河路66号四川国际网球中心</w:t>
      </w:r>
      <w:r>
        <w:rPr>
          <w:rFonts w:hint="eastAsia" w:ascii="宋体" w:hAnsi="宋体"/>
          <w:b/>
          <w:bCs/>
          <w:color w:val="000000"/>
          <w:sz w:val="24"/>
          <w:u w:val="single"/>
          <w:lang w:eastAsia="zh-CN"/>
        </w:rPr>
        <w:t>商务楼</w:t>
      </w:r>
      <w:r>
        <w:rPr>
          <w:rFonts w:hint="eastAsia" w:ascii="宋体" w:hAnsi="宋体"/>
          <w:b/>
          <w:bCs/>
          <w:color w:val="000000"/>
          <w:sz w:val="24"/>
          <w:u w:val="single"/>
        </w:rPr>
        <w:t>会议室</w:t>
      </w:r>
      <w:r>
        <w:rPr>
          <w:rFonts w:hint="eastAsia" w:ascii="宋体" w:hAnsi="宋体"/>
          <w:color w:val="000000"/>
          <w:sz w:val="24"/>
          <w:u w:val="single"/>
        </w:rPr>
        <w:t>。</w:t>
      </w:r>
    </w:p>
    <w:p>
      <w:pPr>
        <w:spacing w:line="360" w:lineRule="auto"/>
        <w:ind w:firstLine="480" w:firstLineChars="200"/>
        <w:rPr>
          <w:rFonts w:ascii="宋体" w:hAnsi="宋体"/>
          <w:sz w:val="24"/>
        </w:rPr>
      </w:pPr>
      <w:r>
        <w:rPr>
          <w:rFonts w:hint="eastAsia" w:ascii="宋体" w:hAnsi="宋体"/>
          <w:sz w:val="24"/>
        </w:rPr>
        <w:t>2.逾期送达的或者未送达指定地点的参选文件，比选人不予受理。</w:t>
      </w:r>
    </w:p>
    <w:p>
      <w:pPr>
        <w:spacing w:line="360" w:lineRule="auto"/>
        <w:ind w:firstLine="482" w:firstLineChars="200"/>
        <w:rPr>
          <w:rFonts w:ascii="宋体" w:hAnsi="宋体"/>
          <w:b/>
          <w:sz w:val="24"/>
        </w:rPr>
      </w:pPr>
      <w:r>
        <w:rPr>
          <w:rFonts w:hint="eastAsia" w:ascii="宋体" w:hAnsi="宋体"/>
          <w:b/>
          <w:sz w:val="24"/>
        </w:rPr>
        <w:t>六、比选公告发布</w:t>
      </w:r>
    </w:p>
    <w:p>
      <w:pPr>
        <w:spacing w:line="360" w:lineRule="auto"/>
        <w:ind w:firstLine="480" w:firstLineChars="200"/>
        <w:rPr>
          <w:rFonts w:ascii="宋体" w:hAnsi="宋体"/>
          <w:szCs w:val="21"/>
        </w:rPr>
      </w:pPr>
      <w:r>
        <w:rPr>
          <w:rFonts w:hint="eastAsia" w:ascii="宋体" w:hAnsi="宋体" w:cs="宋体"/>
          <w:sz w:val="24"/>
        </w:rPr>
        <w:t>本比选公告在四川省投资集团有限责任公司(http://www.invest.com.cn/)、四川川投国际网球中心开发有限责任公司官网（</w:t>
      </w:r>
      <w:r>
        <w:rPr>
          <w:rFonts w:hint="eastAsia" w:ascii="宋体" w:hAnsi="宋体" w:cs="宋体"/>
        </w:rPr>
        <w:fldChar w:fldCharType="begin"/>
      </w:r>
      <w:r>
        <w:rPr>
          <w:rFonts w:hint="eastAsia" w:ascii="宋体" w:hAnsi="宋体" w:cs="宋体"/>
        </w:rPr>
        <w:instrText xml:space="preserve"> HYPERLINK "http://www.sciitc.com/" </w:instrText>
      </w:r>
      <w:r>
        <w:rPr>
          <w:rFonts w:hint="eastAsia" w:ascii="宋体" w:hAnsi="宋体" w:cs="宋体"/>
        </w:rPr>
        <w:fldChar w:fldCharType="separate"/>
      </w:r>
      <w:r>
        <w:rPr>
          <w:rFonts w:hint="eastAsia" w:ascii="宋体" w:hAnsi="宋体" w:cs="宋体"/>
          <w:sz w:val="24"/>
        </w:rPr>
        <w:t>http://www.sciitc.com/</w:t>
      </w:r>
      <w:r>
        <w:rPr>
          <w:rFonts w:hint="eastAsia" w:ascii="宋体" w:hAnsi="宋体" w:cs="宋体"/>
          <w:sz w:val="24"/>
        </w:rPr>
        <w:fldChar w:fldCharType="end"/>
      </w:r>
      <w:r>
        <w:rPr>
          <w:rFonts w:hint="eastAsia" w:ascii="宋体" w:hAnsi="宋体" w:cs="宋体"/>
          <w:sz w:val="24"/>
        </w:rPr>
        <w:t>）及天府阳光采购服务平台（http://scig.tfygcgfw.com/）发布。</w:t>
      </w:r>
    </w:p>
    <w:p>
      <w:pPr>
        <w:spacing w:line="360" w:lineRule="auto"/>
        <w:ind w:firstLine="482" w:firstLineChars="200"/>
        <w:rPr>
          <w:rFonts w:ascii="宋体" w:hAnsi="宋体"/>
          <w:b/>
          <w:color w:val="000000"/>
          <w:sz w:val="24"/>
        </w:rPr>
      </w:pPr>
      <w:r>
        <w:rPr>
          <w:rFonts w:hint="eastAsia" w:ascii="宋体" w:hAnsi="宋体"/>
          <w:b/>
          <w:color w:val="000000"/>
          <w:sz w:val="24"/>
        </w:rPr>
        <w:t>七、联系方式</w:t>
      </w:r>
    </w:p>
    <w:p>
      <w:pPr>
        <w:spacing w:line="360" w:lineRule="auto"/>
        <w:ind w:firstLine="480" w:firstLineChars="200"/>
        <w:rPr>
          <w:rFonts w:hint="eastAsia" w:ascii="宋体" w:hAnsi="宋体" w:cs="宋体"/>
          <w:sz w:val="24"/>
        </w:rPr>
      </w:pPr>
      <w:r>
        <w:rPr>
          <w:rFonts w:hint="eastAsia" w:ascii="宋体" w:hAnsi="宋体" w:cs="宋体"/>
          <w:sz w:val="24"/>
        </w:rPr>
        <w:t>比选人</w:t>
      </w:r>
      <w:r>
        <w:rPr>
          <w:rFonts w:hint="eastAsia" w:ascii="宋体" w:hAnsi="宋体" w:cs="宋体"/>
          <w:sz w:val="24"/>
          <w:lang w:eastAsia="zh-CN"/>
        </w:rPr>
        <w:t>：</w:t>
      </w:r>
      <w:r>
        <w:rPr>
          <w:rFonts w:hint="eastAsia" w:ascii="宋体" w:hAnsi="宋体" w:cs="宋体"/>
          <w:sz w:val="24"/>
          <w:u w:val="single"/>
        </w:rPr>
        <w:t>四川川投国际网球中心开发有限责任公司</w:t>
      </w:r>
    </w:p>
    <w:p>
      <w:pPr>
        <w:spacing w:line="360" w:lineRule="auto"/>
        <w:ind w:firstLine="480" w:firstLineChars="200"/>
        <w:rPr>
          <w:rFonts w:hint="eastAsia" w:ascii="宋体" w:hAnsi="宋体" w:cs="宋体"/>
          <w:sz w:val="24"/>
        </w:rPr>
      </w:pPr>
      <w:r>
        <w:rPr>
          <w:rFonts w:hint="eastAsia" w:ascii="宋体" w:hAnsi="宋体" w:cs="宋体"/>
          <w:sz w:val="24"/>
        </w:rPr>
        <w:t>地址:</w:t>
      </w:r>
      <w:r>
        <w:rPr>
          <w:rFonts w:hint="eastAsia" w:ascii="宋体" w:hAnsi="宋体" w:cs="宋体"/>
          <w:color w:val="000000"/>
          <w:sz w:val="24"/>
          <w:u w:val="single"/>
        </w:rPr>
        <w:t xml:space="preserve"> 成都市双流区金河路66号</w:t>
      </w:r>
    </w:p>
    <w:p>
      <w:pPr>
        <w:spacing w:line="360" w:lineRule="auto"/>
        <w:ind w:firstLine="480" w:firstLineChars="200"/>
        <w:rPr>
          <w:rFonts w:hint="eastAsia" w:ascii="宋体" w:hAnsi="宋体" w:cs="宋体"/>
          <w:sz w:val="24"/>
        </w:rPr>
      </w:pPr>
      <w:r>
        <w:rPr>
          <w:rFonts w:hint="eastAsia" w:ascii="宋体" w:hAnsi="宋体" w:cs="宋体"/>
          <w:sz w:val="24"/>
        </w:rPr>
        <w:t>联系人</w:t>
      </w:r>
      <w:r>
        <w:rPr>
          <w:rFonts w:hint="eastAsia" w:ascii="宋体" w:hAnsi="宋体" w:cs="宋体"/>
          <w:sz w:val="24"/>
          <w:lang w:eastAsia="zh-CN"/>
        </w:rPr>
        <w:t>：</w:t>
      </w:r>
      <w:r>
        <w:rPr>
          <w:rFonts w:hint="eastAsia" w:ascii="宋体" w:hAnsi="宋体" w:cs="宋体"/>
          <w:sz w:val="24"/>
        </w:rPr>
        <w:t>何女士</w:t>
      </w:r>
    </w:p>
    <w:p>
      <w:pPr>
        <w:ind w:firstLine="480" w:firstLineChars="200"/>
        <w:rPr>
          <w:rFonts w:hint="eastAsia" w:ascii="宋体" w:hAnsi="宋体" w:cs="宋体"/>
          <w:sz w:val="24"/>
        </w:rPr>
      </w:pPr>
      <w:r>
        <w:rPr>
          <w:rFonts w:hint="eastAsia" w:ascii="宋体" w:hAnsi="宋体" w:cs="宋体"/>
          <w:sz w:val="24"/>
        </w:rPr>
        <w:t>电话</w:t>
      </w:r>
      <w:r>
        <w:rPr>
          <w:rFonts w:hint="eastAsia" w:ascii="宋体" w:hAnsi="宋体" w:cs="宋体"/>
          <w:sz w:val="24"/>
          <w:lang w:eastAsia="zh-CN"/>
        </w:rPr>
        <w:t>：</w:t>
      </w:r>
      <w:r>
        <w:rPr>
          <w:rFonts w:hint="eastAsia" w:ascii="宋体" w:hAnsi="宋体" w:cs="宋体"/>
          <w:sz w:val="24"/>
        </w:rPr>
        <w:t>028-85893078</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sz w:val="24"/>
          <w:szCs w:val="24"/>
        </w:rPr>
      </w:pPr>
      <w:bookmarkStart w:id="0" w:name="_GoBack"/>
      <w:bookmarkEnd w:id="0"/>
    </w:p>
    <w:p>
      <w:pPr>
        <w:pStyle w:val="14"/>
        <w:spacing w:line="360" w:lineRule="auto"/>
        <w:jc w:val="right"/>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四川川投国际网球中心开发有限责任公司</w:t>
      </w:r>
    </w:p>
    <w:p>
      <w:pPr>
        <w:pStyle w:val="14"/>
        <w:spacing w:line="360" w:lineRule="auto"/>
        <w:ind w:left="2940" w:leftChars="0" w:firstLine="420" w:firstLineChars="0"/>
        <w:jc w:val="center"/>
        <w:rPr>
          <w:rFonts w:hint="eastAsia" w:asciiTheme="minorEastAsia" w:hAnsiTheme="minorEastAsia"/>
          <w:sz w:val="24"/>
        </w:rPr>
      </w:pPr>
      <w:r>
        <w:rPr>
          <w:rFonts w:hint="eastAsia" w:ascii="宋体" w:hAnsi="宋体" w:cs="宋体"/>
          <w:sz w:val="24"/>
          <w:szCs w:val="24"/>
          <w:vertAlign w:val="baseline"/>
          <w:lang w:val="en-US" w:eastAsia="zh-CN"/>
        </w:rPr>
        <w:t>2023年5月18日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02"/>
    <w:family w:val="swiss"/>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Calibri Light">
    <w:altName w:val="Latha"/>
    <w:panose1 w:val="020F0302020204030204"/>
    <w:charset w:val="00"/>
    <w:family w:val="swiss"/>
    <w:pitch w:val="default"/>
    <w:sig w:usb0="00000000" w:usb1="00000000"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宋体-18030">
    <w:altName w:val="微软雅黑"/>
    <w:panose1 w:val="020B0604020202020204"/>
    <w:charset w:val="00"/>
    <w:family w:val="modern"/>
    <w:pitch w:val="default"/>
    <w:sig w:usb0="00000000" w:usb1="00000000" w:usb2="000A005E" w:usb3="00000000" w:csb0="00040001" w:csb1="00000000"/>
  </w:font>
  <w:font w:name="Segoe UI">
    <w:panose1 w:val="020B0502040204020203"/>
    <w:charset w:val="00"/>
    <w:family w:val="auto"/>
    <w:pitch w:val="default"/>
    <w:sig w:usb0="E10022FF" w:usb1="C000E47F" w:usb2="00000029" w:usb3="00000000" w:csb0="200001DF" w:csb1="2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3D781A"/>
    <w:multiLevelType w:val="singleLevel"/>
    <w:tmpl w:val="BC3D781A"/>
    <w:lvl w:ilvl="0" w:tentative="0">
      <w:start w:val="1"/>
      <w:numFmt w:val="decimal"/>
      <w:suff w:val="nothing"/>
      <w:lvlText w:val="%1、"/>
      <w:lvlJc w:val="left"/>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05325D"/>
    <w:rsid w:val="0C205A69"/>
    <w:rsid w:val="12C624B7"/>
    <w:rsid w:val="142C1C6F"/>
    <w:rsid w:val="19666EF6"/>
    <w:rsid w:val="2FA2619D"/>
    <w:rsid w:val="43347094"/>
    <w:rsid w:val="453733F0"/>
    <w:rsid w:val="4F9119F4"/>
    <w:rsid w:val="51311C8F"/>
    <w:rsid w:val="555B1CE1"/>
    <w:rsid w:val="5C653D38"/>
    <w:rsid w:val="79053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ind w:left="2940"/>
      <w:jc w:val="center"/>
    </w:pPr>
  </w:style>
  <w:style w:type="paragraph" w:styleId="5">
    <w:name w:val="annotation text"/>
    <w:basedOn w:val="1"/>
    <w:qFormat/>
    <w:uiPriority w:val="0"/>
    <w:pPr>
      <w:jc w:val="left"/>
    </w:pPr>
  </w:style>
  <w:style w:type="paragraph" w:styleId="6">
    <w:name w:val="Body Text"/>
    <w:basedOn w:val="1"/>
    <w:next w:val="7"/>
    <w:qFormat/>
    <w:uiPriority w:val="0"/>
    <w:rPr>
      <w:rFonts w:ascii="Times New Roman" w:hAnsi="Times New Roman" w:eastAsia="仿宋_GB2312" w:cs="Times New Roman"/>
      <w:sz w:val="32"/>
    </w:rPr>
  </w:style>
  <w:style w:type="paragraph" w:styleId="7">
    <w:name w:val="Body Text First Indent"/>
    <w:basedOn w:val="6"/>
    <w:unhideWhenUsed/>
    <w:qFormat/>
    <w:uiPriority w:val="0"/>
    <w:pPr>
      <w:spacing w:line="440" w:lineRule="exact"/>
      <w:ind w:firstLine="420" w:firstLineChars="200"/>
    </w:pPr>
    <w:rPr>
      <w:szCs w:val="20"/>
    </w:rPr>
  </w:style>
  <w:style w:type="paragraph" w:styleId="8">
    <w:name w:val="footer"/>
    <w:basedOn w:val="1"/>
    <w:qFormat/>
    <w:uiPriority w:val="0"/>
    <w:pPr>
      <w:tabs>
        <w:tab w:val="center" w:pos="4153"/>
        <w:tab w:val="right" w:pos="8306"/>
      </w:tabs>
      <w:adjustRightInd w:val="0"/>
      <w:snapToGrid w:val="0"/>
      <w:spacing w:line="240" w:lineRule="atLeast"/>
      <w:jc w:val="left"/>
      <w:textAlignment w:val="baseline"/>
    </w:pPr>
    <w:rPr>
      <w:kern w:val="0"/>
      <w:sz w:val="18"/>
      <w:szCs w:val="18"/>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qFormat/>
    <w:uiPriority w:val="0"/>
    <w:rPr>
      <w:sz w:val="21"/>
      <w:szCs w:val="21"/>
    </w:rPr>
  </w:style>
  <w:style w:type="paragraph" w:customStyle="1" w:styleId="13">
    <w:name w:val="标题 5（有编号）（绿盟科技）"/>
    <w:basedOn w:val="1"/>
    <w:next w:val="14"/>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14">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15">
    <w:name w:val="列表段落1"/>
    <w:basedOn w:val="1"/>
    <w:qFormat/>
    <w:uiPriority w:val="34"/>
    <w:pPr>
      <w:ind w:firstLine="420" w:firstLineChars="200"/>
    </w:pPr>
    <w:rPr>
      <w:rFonts w:ascii="Calibri" w:hAnsi="Calibri"/>
      <w:szCs w:val="22"/>
    </w:rPr>
  </w:style>
  <w:style w:type="paragraph" w:customStyle="1" w:styleId="16">
    <w:name w:val="列出段落2"/>
    <w:basedOn w:val="1"/>
    <w:unhideWhenUsed/>
    <w:qFormat/>
    <w:uiPriority w:val="99"/>
    <w:pPr>
      <w:ind w:firstLine="420" w:firstLineChars="200"/>
    </w:pPr>
  </w:style>
  <w:style w:type="paragraph" w:styleId="17">
    <w:name w:val="List Paragraph"/>
    <w:basedOn w:val="1"/>
    <w:qFormat/>
    <w:uiPriority w:val="99"/>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2022-08-17T05:35:00Z</dcterms:created>
  <dc:creator>Mary</dc:creator>
  <cp:lastModifiedBy>Mary</cp:lastModifiedBy>
  <dcterms:modified xsi:type="dcterms:W3CDTF">2023-05-18T06:09:40Z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