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jc w:val="center"/>
        <w:rPr>
          <w:rFonts w:hint="eastAsia" w:eastAsia="宋体"/>
          <w:sz w:val="44"/>
          <w:szCs w:val="44"/>
          <w:lang w:val="en-US" w:eastAsia="zh-CN"/>
        </w:rPr>
      </w:pPr>
      <w:bookmarkStart w:id="0" w:name="_Toc21164"/>
      <w:r>
        <w:rPr>
          <w:rFonts w:hint="eastAsia"/>
          <w:sz w:val="44"/>
          <w:szCs w:val="44"/>
          <w:lang w:eastAsia="zh-CN"/>
        </w:rPr>
        <w:t>川投国网公司酒店米面油采购项目（第二次）</w:t>
      </w:r>
    </w:p>
    <w:p>
      <w:pPr>
        <w:pStyle w:val="4"/>
        <w:numPr>
          <w:ilvl w:val="0"/>
          <w:numId w:val="0"/>
        </w:numPr>
        <w:jc w:val="center"/>
        <w:rPr>
          <w:sz w:val="44"/>
          <w:szCs w:val="44"/>
        </w:rPr>
      </w:pPr>
      <w:r>
        <w:rPr>
          <w:rFonts w:hint="eastAsia"/>
          <w:sz w:val="44"/>
          <w:szCs w:val="44"/>
        </w:rPr>
        <w:t>比选公告</w:t>
      </w:r>
      <w:bookmarkEnd w:id="0"/>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1" w:name="_Toc11202_WPSOffice_Level2"/>
      <w:bookmarkStart w:id="2" w:name="_Toc29623_WPSOffice_Level2"/>
      <w:bookmarkStart w:id="3" w:name="_Toc29517_WPSOffice_Level2"/>
      <w:r>
        <w:rPr>
          <w:rFonts w:hint="eastAsia" w:ascii="宋体" w:hAnsi="宋体" w:eastAsia="宋体" w:cs="宋体"/>
          <w:sz w:val="24"/>
          <w:szCs w:val="24"/>
        </w:rPr>
        <w:t>一、比选条件</w:t>
      </w:r>
      <w:bookmarkEnd w:id="1"/>
      <w:bookmarkEnd w:id="2"/>
      <w:bookmarkEnd w:id="3"/>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1.川投国网公司根据经营需要，按照公司制度对酒店米面油采购进行公开比选。</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4" w:name="_Toc21771_WPSOffice_Level2"/>
      <w:bookmarkStart w:id="5" w:name="_Toc27772_WPSOffice_Level2"/>
      <w:bookmarkStart w:id="6" w:name="_Toc2206_WPSOffice_Level2"/>
      <w:r>
        <w:rPr>
          <w:rFonts w:hint="eastAsia" w:ascii="宋体" w:hAnsi="宋体" w:eastAsia="宋体" w:cs="宋体"/>
          <w:sz w:val="24"/>
          <w:szCs w:val="24"/>
        </w:rPr>
        <w:t>二、项目概况与比选范围</w:t>
      </w:r>
      <w:bookmarkEnd w:id="4"/>
      <w:bookmarkEnd w:id="5"/>
      <w:bookmarkEnd w:id="6"/>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1.项目概况</w:t>
      </w:r>
    </w:p>
    <w:tbl>
      <w:tblPr>
        <w:tblStyle w:val="9"/>
        <w:tblW w:w="8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6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918" w:type="dxa"/>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比选人</w:t>
            </w:r>
          </w:p>
        </w:tc>
        <w:tc>
          <w:tcPr>
            <w:tcW w:w="6125" w:type="dxa"/>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18" w:type="dxa"/>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项目名称</w:t>
            </w:r>
          </w:p>
        </w:tc>
        <w:tc>
          <w:tcPr>
            <w:tcW w:w="6125" w:type="dxa"/>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川投国网公司酒店米面油采购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18" w:type="dxa"/>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项目控制总价</w:t>
            </w:r>
          </w:p>
        </w:tc>
        <w:tc>
          <w:tcPr>
            <w:tcW w:w="6125" w:type="dxa"/>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263570</w:t>
            </w:r>
            <w:r>
              <w:rPr>
                <w:rFonts w:hint="eastAsia" w:ascii="宋体" w:hAnsi="宋体" w:eastAsia="宋体" w:cs="宋体"/>
                <w:b/>
                <w:bCs/>
                <w:sz w:val="24"/>
                <w:szCs w:val="24"/>
                <w:lang w:val="en-US" w:eastAsia="zh-CN"/>
              </w:rPr>
              <w:t>.00</w:t>
            </w:r>
            <w:r>
              <w:rPr>
                <w:rFonts w:hint="eastAsia" w:ascii="宋体" w:hAnsi="宋体" w:eastAsia="宋体" w:cs="宋体"/>
                <w:b/>
                <w:bCs/>
                <w:sz w:val="24"/>
                <w:szCs w:val="24"/>
              </w:rPr>
              <w:t>元/年</w:t>
            </w:r>
          </w:p>
        </w:tc>
      </w:tr>
    </w:tbl>
    <w:p>
      <w:pPr>
        <w:pageBreakBefore w:val="0"/>
        <w:numPr>
          <w:ilvl w:val="0"/>
          <w:numId w:val="2"/>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比选范围</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比选人经营过程中所需的米面油物资。</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7" w:name="_Toc17608_WPSOffice_Level2"/>
      <w:bookmarkStart w:id="8" w:name="_Toc8619_WPSOffice_Level2"/>
      <w:bookmarkStart w:id="9" w:name="_Toc21873_WPSOffice_Level2"/>
      <w:r>
        <w:rPr>
          <w:rFonts w:hint="eastAsia" w:ascii="宋体" w:hAnsi="宋体" w:eastAsia="宋体" w:cs="宋体"/>
          <w:sz w:val="24"/>
          <w:szCs w:val="24"/>
        </w:rPr>
        <w:t>三、响应人资格要求</w:t>
      </w:r>
      <w:bookmarkEnd w:id="7"/>
      <w:bookmarkEnd w:id="8"/>
      <w:bookmarkEnd w:id="9"/>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1.具有独立承担民事责任的能力，具有有效的《</w:t>
      </w:r>
      <w:r>
        <w:rPr>
          <w:rFonts w:hint="eastAsia" w:ascii="宋体" w:hAnsi="宋体" w:eastAsia="宋体" w:cs="宋体"/>
          <w:sz w:val="24"/>
          <w:szCs w:val="24"/>
          <w:lang w:val="en-US" w:eastAsia="zh-CN"/>
        </w:rPr>
        <w:t>食品</w:t>
      </w:r>
      <w:r>
        <w:rPr>
          <w:rFonts w:hint="eastAsia" w:ascii="宋体" w:hAnsi="宋体" w:eastAsia="宋体" w:cs="宋体"/>
          <w:sz w:val="24"/>
          <w:szCs w:val="24"/>
        </w:rPr>
        <w:t>生产许可证》或《食品经营许可证》；</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2.营业执照合法有效，注册资金不低于50万元；</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.具有良好的商业信誉；</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.参加本次采购活动前三年内未被列入严重违法失信名单（黑名单）；</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.参加本次采购活动前三年内无行贿犯罪记录；</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.须具备法律、行政法规及当地主管部门规定的其他强制性条件；</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.2019年以来具有类似2个不低于</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0万/年的业绩；     </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.本次招标不接受联合体投标。</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 响应人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10" w:name="_Toc17422_WPSOffice_Level2"/>
      <w:bookmarkStart w:id="11" w:name="_Toc10427_WPSOffice_Level2"/>
      <w:bookmarkStart w:id="12" w:name="_Toc7603_WPSOffice_Level2"/>
      <w:r>
        <w:rPr>
          <w:rFonts w:hint="eastAsia" w:ascii="宋体" w:hAnsi="宋体" w:eastAsia="宋体" w:cs="宋体"/>
          <w:sz w:val="24"/>
          <w:szCs w:val="24"/>
        </w:rPr>
        <w:t>四、比选文件的获取</w:t>
      </w:r>
      <w:bookmarkEnd w:id="10"/>
      <w:bookmarkEnd w:id="11"/>
      <w:bookmarkEnd w:id="12"/>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响应人请于</w:t>
      </w:r>
      <w:r>
        <w:rPr>
          <w:rFonts w:hint="eastAsia" w:ascii="宋体" w:hAnsi="宋体" w:eastAsia="宋体" w:cs="宋体"/>
          <w:sz w:val="24"/>
          <w:szCs w:val="24"/>
          <w:lang w:val="en-US" w:eastAsia="zh-CN"/>
        </w:rPr>
        <w:t>2022</w:t>
      </w:r>
      <w:r>
        <w:rPr>
          <w:rFonts w:hint="eastAsia" w:ascii="宋体" w:hAnsi="宋体" w:eastAsia="宋体" w:cs="宋体"/>
          <w:sz w:val="24"/>
          <w:szCs w:val="24"/>
        </w:rPr>
        <w:t>年</w:t>
      </w:r>
      <w:r>
        <w:rPr>
          <w:rFonts w:hint="eastAsia" w:ascii="宋体" w:hAnsi="宋体" w:cs="宋体"/>
          <w:sz w:val="24"/>
          <w:szCs w:val="24"/>
          <w:lang w:val="en-US" w:eastAsia="zh-CN"/>
        </w:rPr>
        <w:t>8</w:t>
      </w:r>
      <w:r>
        <w:rPr>
          <w:rFonts w:hint="eastAsia" w:ascii="宋体" w:hAnsi="宋体" w:eastAsia="宋体" w:cs="宋体"/>
          <w:sz w:val="24"/>
          <w:szCs w:val="24"/>
        </w:rPr>
        <w:t>月</w:t>
      </w:r>
      <w:r>
        <w:rPr>
          <w:rFonts w:hint="eastAsia" w:ascii="宋体" w:hAnsi="宋体" w:cs="宋体"/>
          <w:sz w:val="24"/>
          <w:szCs w:val="24"/>
          <w:lang w:val="en-US" w:eastAsia="zh-CN"/>
        </w:rPr>
        <w:t>5</w:t>
      </w:r>
      <w:r>
        <w:rPr>
          <w:rFonts w:hint="eastAsia" w:ascii="宋体" w:hAnsi="宋体" w:eastAsia="宋体" w:cs="宋体"/>
          <w:sz w:val="24"/>
          <w:szCs w:val="24"/>
        </w:rPr>
        <w:t>日至</w:t>
      </w:r>
      <w:r>
        <w:rPr>
          <w:rFonts w:hint="eastAsia" w:ascii="宋体" w:hAnsi="宋体" w:eastAsia="宋体" w:cs="宋体"/>
          <w:sz w:val="24"/>
          <w:szCs w:val="24"/>
          <w:lang w:val="en-US" w:eastAsia="zh-CN"/>
        </w:rPr>
        <w:t>2022</w:t>
      </w:r>
      <w:r>
        <w:rPr>
          <w:rFonts w:hint="eastAsia" w:ascii="宋体" w:hAnsi="宋体" w:eastAsia="宋体" w:cs="宋体"/>
          <w:sz w:val="24"/>
          <w:szCs w:val="24"/>
        </w:rPr>
        <w:t>年</w:t>
      </w:r>
      <w:r>
        <w:rPr>
          <w:rFonts w:hint="eastAsia" w:ascii="宋体" w:hAnsi="宋体" w:cs="宋体"/>
          <w:sz w:val="24"/>
          <w:szCs w:val="24"/>
          <w:lang w:val="en-US" w:eastAsia="zh-CN"/>
        </w:rPr>
        <w:t>8</w:t>
      </w:r>
      <w:r>
        <w:rPr>
          <w:rFonts w:hint="eastAsia" w:ascii="宋体" w:hAnsi="宋体" w:eastAsia="宋体" w:cs="宋体"/>
          <w:sz w:val="24"/>
          <w:szCs w:val="24"/>
        </w:rPr>
        <w:t>月</w:t>
      </w:r>
      <w:r>
        <w:rPr>
          <w:rFonts w:hint="eastAsia" w:ascii="宋体" w:hAnsi="宋体" w:cs="宋体"/>
          <w:sz w:val="24"/>
          <w:szCs w:val="24"/>
          <w:lang w:val="en-US" w:eastAsia="zh-CN"/>
        </w:rPr>
        <w:t>11</w:t>
      </w:r>
      <w:r>
        <w:rPr>
          <w:rFonts w:hint="eastAsia" w:ascii="宋体" w:hAnsi="宋体" w:eastAsia="宋体" w:cs="宋体"/>
          <w:sz w:val="24"/>
          <w:szCs w:val="24"/>
        </w:rPr>
        <w:t>日(法定公休日、法定节假日除外),每日上午9:00时至12:00时，下午13:00时至17:00时(北京时间),持下列证件在成都市双流区金河路66号四川国际网球中心综合办</w:t>
      </w:r>
      <w:r>
        <w:rPr>
          <w:rFonts w:hint="eastAsia" w:ascii="宋体" w:hAnsi="宋体" w:cs="宋体"/>
          <w:sz w:val="24"/>
          <w:szCs w:val="24"/>
          <w:lang w:eastAsia="zh-CN"/>
        </w:rPr>
        <w:t>采购招标办公室</w:t>
      </w:r>
      <w:r>
        <w:rPr>
          <w:rFonts w:hint="eastAsia" w:ascii="宋体" w:hAnsi="宋体" w:eastAsia="宋体" w:cs="宋体"/>
          <w:sz w:val="24"/>
          <w:szCs w:val="24"/>
        </w:rPr>
        <w:t>（</w:t>
      </w:r>
      <w:r>
        <w:rPr>
          <w:rFonts w:hint="eastAsia" w:ascii="宋体" w:hAnsi="宋体" w:cs="宋体"/>
          <w:sz w:val="24"/>
          <w:szCs w:val="24"/>
          <w:lang w:val="en-US" w:eastAsia="zh-CN"/>
        </w:rPr>
        <w:t>ZW101</w:t>
      </w:r>
      <w:r>
        <w:rPr>
          <w:rFonts w:hint="eastAsia" w:ascii="宋体" w:hAnsi="宋体" w:eastAsia="宋体" w:cs="宋体"/>
          <w:sz w:val="24"/>
          <w:szCs w:val="24"/>
        </w:rPr>
        <w:t>）领取比选文件。</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（1）领取人身份证(查验原件留复印件)</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（2）单位介绍信(留原件)</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（3）营业执照副本(查验原件留复印件)</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（4）相关部门颁布的食品经营相关证照(查验原件留复印件)</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（备注:以上证件复印件均需加盖响应人公章。比选文件免费提供，比选人不提供邮购比选文件服务，报名时需配合比选人的防疫要求，戴好口罩。）</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13" w:name="_Toc14754_WPSOffice_Level2"/>
      <w:bookmarkStart w:id="14" w:name="_Toc20070_WPSOffice_Level2"/>
      <w:bookmarkStart w:id="15" w:name="_Toc18106_WPSOffice_Level2"/>
      <w:r>
        <w:rPr>
          <w:rFonts w:hint="eastAsia" w:ascii="宋体" w:hAnsi="宋体" w:eastAsia="宋体" w:cs="宋体"/>
          <w:sz w:val="24"/>
          <w:szCs w:val="24"/>
        </w:rPr>
        <w:t>五、响应文件的递交</w:t>
      </w:r>
      <w:bookmarkEnd w:id="13"/>
      <w:bookmarkEnd w:id="14"/>
      <w:bookmarkEnd w:id="15"/>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1.响应文件递交时间为</w:t>
      </w:r>
      <w:r>
        <w:rPr>
          <w:rFonts w:hint="eastAsia" w:ascii="宋体" w:hAnsi="宋体" w:eastAsia="宋体" w:cs="宋体"/>
          <w:sz w:val="24"/>
          <w:szCs w:val="24"/>
          <w:lang w:val="en-US" w:eastAsia="zh-CN"/>
        </w:rPr>
        <w:t>2022</w:t>
      </w:r>
      <w:r>
        <w:rPr>
          <w:rFonts w:hint="eastAsia" w:ascii="宋体" w:hAnsi="宋体" w:eastAsia="宋体" w:cs="宋体"/>
          <w:sz w:val="24"/>
          <w:szCs w:val="24"/>
          <w:u w:val="single"/>
        </w:rPr>
        <w:t>年</w:t>
      </w:r>
      <w:r>
        <w:rPr>
          <w:rFonts w:hint="eastAsia" w:ascii="宋体" w:hAnsi="宋体" w:cs="宋体"/>
          <w:sz w:val="24"/>
          <w:szCs w:val="24"/>
          <w:u w:val="single"/>
          <w:lang w:val="en-US" w:eastAsia="zh-CN"/>
        </w:rPr>
        <w:t>8</w:t>
      </w:r>
      <w:r>
        <w:rPr>
          <w:rFonts w:hint="eastAsia" w:ascii="宋体" w:hAnsi="宋体" w:eastAsia="宋体" w:cs="宋体"/>
          <w:sz w:val="24"/>
          <w:szCs w:val="24"/>
          <w:u w:val="single"/>
        </w:rPr>
        <w:t>月</w:t>
      </w:r>
      <w:r>
        <w:rPr>
          <w:rFonts w:hint="eastAsia" w:ascii="宋体" w:hAnsi="宋体" w:cs="宋体"/>
          <w:sz w:val="24"/>
          <w:szCs w:val="24"/>
          <w:u w:val="single"/>
          <w:lang w:val="en-US" w:eastAsia="zh-CN"/>
        </w:rPr>
        <w:t>15</w:t>
      </w:r>
      <w:r>
        <w:rPr>
          <w:rFonts w:hint="eastAsia" w:ascii="宋体" w:hAnsi="宋体" w:eastAsia="宋体" w:cs="宋体"/>
          <w:sz w:val="24"/>
          <w:szCs w:val="24"/>
          <w:u w:val="single"/>
        </w:rPr>
        <w:t>日</w:t>
      </w:r>
      <w:r>
        <w:rPr>
          <w:rFonts w:hint="eastAsia" w:ascii="宋体" w:hAnsi="宋体" w:eastAsia="宋体" w:cs="宋体"/>
          <w:sz w:val="24"/>
          <w:szCs w:val="24"/>
          <w:u w:val="single"/>
          <w:lang w:val="en-US" w:eastAsia="zh-CN"/>
        </w:rPr>
        <w:t>14时30</w:t>
      </w:r>
      <w:r>
        <w:rPr>
          <w:rFonts w:hint="eastAsia" w:ascii="宋体" w:hAnsi="宋体" w:eastAsia="宋体" w:cs="宋体"/>
          <w:sz w:val="24"/>
          <w:szCs w:val="24"/>
          <w:u w:val="single"/>
        </w:rPr>
        <w:t>分</w:t>
      </w:r>
      <w:r>
        <w:rPr>
          <w:rFonts w:hint="eastAsia" w:ascii="宋体" w:hAnsi="宋体" w:eastAsia="宋体" w:cs="宋体"/>
          <w:sz w:val="24"/>
          <w:szCs w:val="24"/>
        </w:rPr>
        <w:t>，地点为</w:t>
      </w:r>
      <w:r>
        <w:rPr>
          <w:rFonts w:hint="eastAsia" w:ascii="宋体" w:hAnsi="宋体" w:eastAsia="宋体" w:cs="宋体"/>
          <w:sz w:val="24"/>
          <w:szCs w:val="24"/>
          <w:u w:val="single"/>
        </w:rPr>
        <w:t>成都市双流区金河路66号四川国际网球中心</w:t>
      </w:r>
      <w:r>
        <w:rPr>
          <w:rFonts w:hint="eastAsia" w:ascii="宋体" w:hAnsi="宋体" w:eastAsia="宋体" w:cs="宋体"/>
          <w:sz w:val="24"/>
          <w:szCs w:val="24"/>
          <w:u w:val="single"/>
          <w:lang w:val="en-US" w:eastAsia="zh-CN"/>
        </w:rPr>
        <w:t>大</w:t>
      </w:r>
      <w:r>
        <w:rPr>
          <w:rFonts w:hint="eastAsia" w:ascii="宋体" w:hAnsi="宋体" w:eastAsia="宋体" w:cs="宋体"/>
          <w:sz w:val="24"/>
          <w:szCs w:val="24"/>
          <w:u w:val="single"/>
        </w:rPr>
        <w:t>会议室</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ZN118）</w:t>
      </w:r>
      <w:r>
        <w:rPr>
          <w:rFonts w:hint="eastAsia" w:ascii="宋体" w:hAnsi="宋体" w:eastAsia="宋体" w:cs="宋体"/>
          <w:sz w:val="24"/>
          <w:szCs w:val="24"/>
          <w:u w:val="single"/>
        </w:rPr>
        <w:t>。</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2.逾期送达的或者未送达指定地点的响应文件，比选人不予受理。</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16" w:name="_Toc14683_WPSOffice_Level2"/>
      <w:bookmarkStart w:id="17" w:name="_Toc1754_WPSOffice_Level2"/>
      <w:bookmarkStart w:id="18" w:name="_Toc8903_WPSOffice_Level2"/>
      <w:r>
        <w:rPr>
          <w:rFonts w:hint="eastAsia" w:ascii="宋体" w:hAnsi="宋体" w:eastAsia="宋体" w:cs="宋体"/>
          <w:sz w:val="24"/>
          <w:szCs w:val="24"/>
        </w:rPr>
        <w:t>六、比选公告发布</w:t>
      </w:r>
      <w:bookmarkEnd w:id="16"/>
      <w:bookmarkEnd w:id="17"/>
      <w:bookmarkEnd w:id="18"/>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本比选公告在四川省投资集团有限责任公司(http://www.invest.com.cn/)、四川川投国际网球中心开发有限责任公司官网（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"http://www.sciitc.com/" </w:instrText>
      </w:r>
      <w:r>
        <w:rPr>
          <w:rFonts w:hint="eastAsia" w:ascii="宋体" w:hAnsi="宋体" w:eastAsia="宋体" w:cs="宋体"/>
          <w:sz w:val="24"/>
          <w:szCs w:val="24"/>
        </w:rPr>
        <w:fldChar w:fldCharType="separate"/>
      </w:r>
      <w:r>
        <w:rPr>
          <w:rFonts w:hint="eastAsia" w:ascii="宋体" w:hAnsi="宋体" w:eastAsia="宋体" w:cs="宋体"/>
          <w:sz w:val="24"/>
          <w:szCs w:val="24"/>
        </w:rPr>
        <w:t>http://www.sciitc.com/</w:t>
      </w:r>
      <w:r>
        <w:rPr>
          <w:rFonts w:hint="eastAsia" w:ascii="宋体" w:hAnsi="宋体" w:eastAsia="宋体" w:cs="宋体"/>
          <w:sz w:val="24"/>
          <w:szCs w:val="24"/>
        </w:rPr>
        <w:fldChar w:fldCharType="end"/>
      </w:r>
      <w:r>
        <w:rPr>
          <w:rFonts w:hint="eastAsia" w:ascii="宋体" w:hAnsi="宋体" w:eastAsia="宋体" w:cs="宋体"/>
          <w:sz w:val="24"/>
          <w:szCs w:val="24"/>
        </w:rPr>
        <w:t>）及中国招标投标公共服务平台（http://www.cebpubservice.com/）发布。</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19" w:name="_Toc2270_WPSOffice_Level2"/>
      <w:bookmarkStart w:id="20" w:name="_Toc1702_WPSOffice_Level2"/>
      <w:bookmarkStart w:id="21" w:name="_Toc32506_WPSOffice_Level2"/>
      <w:r>
        <w:rPr>
          <w:rFonts w:hint="eastAsia" w:ascii="宋体" w:hAnsi="宋体" w:eastAsia="宋体" w:cs="宋体"/>
          <w:sz w:val="24"/>
          <w:szCs w:val="24"/>
        </w:rPr>
        <w:t>七、联系方式</w:t>
      </w:r>
      <w:bookmarkEnd w:id="19"/>
      <w:bookmarkEnd w:id="20"/>
      <w:bookmarkEnd w:id="21"/>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比选人:四川川投国际网球中心开发有限责任公司</w:t>
      </w:r>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地址: 成都市双流区金河路66号</w:t>
      </w:r>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联系人: 何女士     </w:t>
      </w:r>
    </w:p>
    <w:p>
      <w:pPr>
        <w:pStyle w:val="13"/>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电话:028-85893</w:t>
      </w:r>
      <w:r>
        <w:rPr>
          <w:rFonts w:hint="eastAsia" w:ascii="宋体" w:hAnsi="宋体" w:eastAsia="宋体" w:cs="宋体"/>
          <w:sz w:val="24"/>
          <w:szCs w:val="24"/>
          <w:lang w:val="en-US" w:eastAsia="zh-CN"/>
        </w:rPr>
        <w:t>078</w:t>
      </w:r>
    </w:p>
    <w:p>
      <w:pPr>
        <w:pStyle w:val="13"/>
        <w:spacing w:line="360" w:lineRule="auto"/>
        <w:rPr>
          <w:rFonts w:hint="eastAsia" w:ascii="宋体" w:hAnsi="宋体" w:eastAsia="宋体" w:cs="宋体"/>
          <w:sz w:val="24"/>
          <w:szCs w:val="24"/>
          <w:vertAlign w:val="baseline"/>
          <w:lang w:val="en-US" w:eastAsia="zh-CN"/>
        </w:rPr>
      </w:pPr>
    </w:p>
    <w:p>
      <w:pPr>
        <w:pStyle w:val="13"/>
        <w:spacing w:line="360" w:lineRule="auto"/>
        <w:rPr>
          <w:rFonts w:hint="eastAsia" w:ascii="宋体" w:hAnsi="宋体" w:eastAsia="宋体" w:cs="宋体"/>
          <w:sz w:val="24"/>
          <w:szCs w:val="24"/>
          <w:vertAlign w:val="baseline"/>
          <w:lang w:val="en-US" w:eastAsia="zh-CN"/>
        </w:rPr>
      </w:pPr>
    </w:p>
    <w:p>
      <w:pPr>
        <w:pStyle w:val="13"/>
        <w:spacing w:line="360" w:lineRule="auto"/>
        <w:jc w:val="right"/>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四川川投国际网球中心开发有限责任公司</w:t>
      </w:r>
    </w:p>
    <w:p>
      <w:pPr>
        <w:pStyle w:val="13"/>
        <w:spacing w:line="360" w:lineRule="auto"/>
        <w:ind w:left="2940" w:leftChars="0" w:firstLine="42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 xml:space="preserve">     </w:t>
      </w:r>
      <w:bookmarkStart w:id="22" w:name="_GoBack"/>
      <w:bookmarkEnd w:id="22"/>
      <w:r>
        <w:rPr>
          <w:rFonts w:hint="eastAsia" w:ascii="宋体" w:hAnsi="宋体" w:cs="宋体"/>
          <w:sz w:val="24"/>
          <w:szCs w:val="24"/>
          <w:vertAlign w:val="baseline"/>
          <w:lang w:val="en-US" w:eastAsia="zh-CN"/>
        </w:rPr>
        <w:t>2022年8月5日</w:t>
      </w:r>
    </w:p>
    <w:p>
      <w:pPr>
        <w:pStyle w:val="13"/>
        <w:rPr>
          <w:rFonts w:hint="eastAsia" w:ascii="宋体" w:hAnsi="宋体" w:eastAsia="宋体" w:cs="宋体"/>
          <w:sz w:val="24"/>
          <w:szCs w:val="24"/>
          <w:vertAlign w:val="baseline"/>
          <w:lang w:val="en-US" w:eastAsia="zh-CN"/>
        </w:rPr>
      </w:pPr>
    </w:p>
    <w:p>
      <w:pPr>
        <w:pStyle w:val="13"/>
        <w:rPr>
          <w:rFonts w:hint="eastAsia" w:ascii="宋体" w:hAnsi="宋体" w:eastAsia="宋体" w:cs="宋体"/>
          <w:sz w:val="24"/>
          <w:szCs w:val="24"/>
          <w:vertAlign w:val="baseline"/>
          <w:lang w:val="en-US" w:eastAsia="zh-CN"/>
        </w:rPr>
      </w:pPr>
    </w:p>
    <w:p>
      <w:pPr>
        <w:pStyle w:val="13"/>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drawing>
          <wp:inline distT="0" distB="0" distL="114300" distR="114300">
            <wp:extent cx="5332730" cy="4172585"/>
            <wp:effectExtent l="0" t="0" r="1270" b="18415"/>
            <wp:docPr id="1" name="图片 1" descr="微信图片_2022072510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725105129"/>
                    <pic:cNvPicPr>
                      <a:picLocks noChangeAspect="1"/>
                    </pic:cNvPicPr>
                  </pic:nvPicPr>
                  <pic:blipFill>
                    <a:blip r:embed="rId4"/>
                    <a:stretch>
                      <a:fillRect/>
                    </a:stretch>
                  </pic:blipFill>
                  <pic:spPr>
                    <a:xfrm>
                      <a:off x="0" y="0"/>
                      <a:ext cx="5332730" cy="4172585"/>
                    </a:xfrm>
                    <a:prstGeom prst="rect">
                      <a:avLst/>
                    </a:prstGeom>
                  </pic:spPr>
                </pic:pic>
              </a:graphicData>
            </a:graphic>
          </wp:inline>
        </w:drawing>
      </w:r>
    </w:p>
    <w:p>
      <w:pPr>
        <w:pStyle w:val="13"/>
        <w:rPr>
          <w:rFonts w:hint="eastAsia" w:ascii="宋体" w:hAnsi="宋体" w:eastAsia="宋体" w:cs="宋体"/>
          <w:sz w:val="24"/>
          <w:szCs w:val="24"/>
          <w:vertAlign w:val="baseline"/>
          <w:lang w:val="en-US" w:eastAsia="zh-CN"/>
        </w:rPr>
      </w:pPr>
    </w:p>
    <w:p>
      <w:pPr>
        <w:pStyle w:val="13"/>
        <w:rPr>
          <w:rFonts w:hint="eastAsia" w:ascii="宋体" w:hAnsi="宋体" w:eastAsia="宋体" w:cs="宋体"/>
          <w:sz w:val="24"/>
          <w:szCs w:val="24"/>
          <w:vertAlign w:val="baseline"/>
          <w:lang w:val="en-US" w:eastAsia="zh-CN"/>
        </w:rPr>
      </w:pPr>
    </w:p>
    <w:p>
      <w:pPr>
        <w:pStyle w:val="13"/>
        <w:rPr>
          <w:rFonts w:hint="eastAsia" w:ascii="宋体" w:hAnsi="宋体" w:eastAsia="宋体" w:cs="宋体"/>
          <w:sz w:val="24"/>
          <w:szCs w:val="24"/>
          <w:vertAlign w:val="baseline"/>
          <w:lang w:val="en-US" w:eastAsia="zh-CN"/>
        </w:rPr>
      </w:pPr>
    </w:p>
    <w:p>
      <w:pPr>
        <w:pStyle w:val="13"/>
        <w:rPr>
          <w:rFonts w:hint="eastAsia" w:ascii="宋体" w:hAnsi="宋体" w:eastAsia="宋体" w:cs="宋体"/>
          <w:sz w:val="24"/>
          <w:szCs w:val="24"/>
          <w:vertAlign w:val="baseline"/>
          <w:lang w:val="en-US" w:eastAsia="zh-CN"/>
        </w:rPr>
      </w:pPr>
    </w:p>
    <w:p>
      <w:pPr>
        <w:pStyle w:val="13"/>
        <w:rPr>
          <w:rFonts w:hint="eastAsia" w:ascii="宋体" w:hAnsi="宋体" w:eastAsia="宋体" w:cs="宋体"/>
          <w:sz w:val="24"/>
          <w:szCs w:val="24"/>
          <w:vertAlign w:val="baseline"/>
          <w:lang w:val="en-US" w:eastAsia="zh-CN"/>
        </w:rPr>
      </w:pPr>
    </w:p>
    <w:p>
      <w:pPr>
        <w:pStyle w:val="13"/>
        <w:rPr>
          <w:rFonts w:hint="eastAsia" w:ascii="宋体" w:hAnsi="宋体" w:eastAsia="宋体" w:cs="宋体"/>
          <w:sz w:val="24"/>
          <w:szCs w:val="24"/>
          <w:vertAlign w:val="baseline"/>
          <w:lang w:val="en-US" w:eastAsia="zh-CN"/>
        </w:rPr>
      </w:pP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libri Light">
    <w:altName w:val="Latha"/>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512B93CF"/>
    <w:multiLevelType w:val="singleLevel"/>
    <w:tmpl w:val="512B93CF"/>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7400A"/>
    <w:rsid w:val="06A575E7"/>
    <w:rsid w:val="084A20AE"/>
    <w:rsid w:val="092A05EE"/>
    <w:rsid w:val="092F0637"/>
    <w:rsid w:val="0AEB385A"/>
    <w:rsid w:val="0C637BC0"/>
    <w:rsid w:val="0F3D796C"/>
    <w:rsid w:val="0FA91DB3"/>
    <w:rsid w:val="1E1F0375"/>
    <w:rsid w:val="221367A1"/>
    <w:rsid w:val="22C056B0"/>
    <w:rsid w:val="23304613"/>
    <w:rsid w:val="23C5732A"/>
    <w:rsid w:val="2591064D"/>
    <w:rsid w:val="26140A94"/>
    <w:rsid w:val="27D918D1"/>
    <w:rsid w:val="2C1970C4"/>
    <w:rsid w:val="2E5F5315"/>
    <w:rsid w:val="2EE129DF"/>
    <w:rsid w:val="2F4365BB"/>
    <w:rsid w:val="327D3248"/>
    <w:rsid w:val="36FE0C59"/>
    <w:rsid w:val="384E0893"/>
    <w:rsid w:val="39284E60"/>
    <w:rsid w:val="3AD419BE"/>
    <w:rsid w:val="3BA014E0"/>
    <w:rsid w:val="3FB73360"/>
    <w:rsid w:val="4B683A78"/>
    <w:rsid w:val="4EDF03D1"/>
    <w:rsid w:val="4F4D01A3"/>
    <w:rsid w:val="4FE23753"/>
    <w:rsid w:val="5596676B"/>
    <w:rsid w:val="56365352"/>
    <w:rsid w:val="5840782E"/>
    <w:rsid w:val="5DE940A5"/>
    <w:rsid w:val="5EB533BB"/>
    <w:rsid w:val="632243A0"/>
    <w:rsid w:val="6AFD4B5B"/>
    <w:rsid w:val="70243338"/>
    <w:rsid w:val="70375517"/>
    <w:rsid w:val="705E4221"/>
    <w:rsid w:val="71E63F17"/>
    <w:rsid w:val="72633843"/>
    <w:rsid w:val="75AA1582"/>
    <w:rsid w:val="78DA2610"/>
    <w:rsid w:val="78E250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before="240" w:after="240" w:line="400" w:lineRule="atLeast"/>
      <w:jc w:val="left"/>
      <w:textAlignment w:val="baseline"/>
      <w:outlineLvl w:val="0"/>
    </w:pPr>
    <w:rPr>
      <w:b/>
      <w:kern w:val="44"/>
      <w:sz w:val="28"/>
      <w:szCs w:val="20"/>
    </w:rPr>
  </w:style>
  <w:style w:type="paragraph" w:styleId="5">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4"/>
    <w:basedOn w:val="1"/>
    <w:next w:val="1"/>
    <w:unhideWhenUsed/>
    <w:qFormat/>
    <w:uiPriority w:val="9"/>
    <w:pPr>
      <w:keepNext/>
      <w:keepLines/>
      <w:spacing w:before="280" w:after="290" w:line="376" w:lineRule="auto"/>
      <w:jc w:val="center"/>
      <w:outlineLvl w:val="3"/>
    </w:pPr>
    <w:rPr>
      <w:rFonts w:eastAsia="黑体"/>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仿宋_GB2312" w:cs="Times New Roman"/>
      <w:sz w:val="32"/>
    </w:rPr>
  </w:style>
  <w:style w:type="paragraph" w:styleId="3">
    <w:name w:val="Body Text First Indent"/>
    <w:basedOn w:val="2"/>
    <w:unhideWhenUsed/>
    <w:qFormat/>
    <w:uiPriority w:val="0"/>
    <w:pPr>
      <w:spacing w:line="440" w:lineRule="exact"/>
      <w:ind w:firstLine="420" w:firstLineChars="200"/>
    </w:pPr>
    <w:rPr>
      <w:szCs w:val="20"/>
    </w:rPr>
  </w:style>
  <w:style w:type="paragraph" w:styleId="7">
    <w:name w:val="annotation text"/>
    <w:basedOn w:val="1"/>
    <w:qFormat/>
    <w:uiPriority w:val="0"/>
    <w:pPr>
      <w:jc w:val="left"/>
    </w:p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标题 5（有编号）（绿盟科技）"/>
    <w:basedOn w:val="1"/>
    <w:next w:val="1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4">
    <w:name w:val="列出段落2"/>
    <w:basedOn w:val="1"/>
    <w:unhideWhenUsed/>
    <w:qFormat/>
    <w:uiPriority w:val="99"/>
    <w:pPr>
      <w:ind w:firstLine="420" w:firstLineChars="200"/>
    </w:pPr>
  </w:style>
  <w:style w:type="paragraph" w:styleId="15">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6">
    <w:name w:val="列表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Mary</cp:lastModifiedBy>
  <dcterms:modified xsi:type="dcterms:W3CDTF">2022-08-05T04:55:14Z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