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川网国际花园（二期一批次、二批次、三批次、四批次共4个打捆） 项目工程造价咨询（结算审计）服务机构</w:t>
      </w: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比选中选候选人公示</w:t>
      </w:r>
    </w:p>
    <w:p>
      <w:pPr>
        <w:spacing w:line="600" w:lineRule="auto"/>
        <w:ind w:firstLine="560" w:firstLineChars="20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川网国际花园（二期一批次、二批次、三批次、四批次共4个打捆） 项目工程造价咨询（结算审计）服务机构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201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:00在川投国网公司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商务酒店项目中心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会议室开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截止参选文件递交时间201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  <w:t>四川兴诚信工程造价事务所有限公司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第二中选候选人：</w:t>
      </w:r>
      <w:r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  <w:t>四川开元工程项目管理咨询有限公司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三</w:t>
      </w:r>
      <w:r>
        <w:rPr>
          <w:rFonts w:hint="eastAsia" w:ascii="宋体" w:hAnsi="宋体" w:cs="Arial"/>
          <w:b/>
          <w:bCs/>
          <w:color w:val="000000"/>
          <w:sz w:val="28"/>
        </w:rPr>
        <w:t>中选候选人：</w:t>
      </w:r>
      <w:r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  <w:t>四川正则工程咨询股份有限公司</w:t>
      </w:r>
    </w:p>
    <w:p>
      <w:pPr>
        <w:spacing w:line="600" w:lineRule="auto"/>
        <w:ind w:firstLine="560" w:firstLineChars="20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sz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27</w:t>
      </w:r>
      <w:r>
        <w:rPr>
          <w:rFonts w:hint="eastAsia" w:ascii="仿宋" w:hAnsi="仿宋" w:eastAsia="仿宋" w:cs="Arial"/>
          <w:color w:val="000000"/>
          <w:sz w:val="28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203D28"/>
    <w:rsid w:val="0027696B"/>
    <w:rsid w:val="003E2834"/>
    <w:rsid w:val="004169C2"/>
    <w:rsid w:val="004210CD"/>
    <w:rsid w:val="00480275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B1C74"/>
    <w:rsid w:val="00DF0DE1"/>
    <w:rsid w:val="0A090777"/>
    <w:rsid w:val="0F0C324D"/>
    <w:rsid w:val="23784523"/>
    <w:rsid w:val="25247671"/>
    <w:rsid w:val="389F10CA"/>
    <w:rsid w:val="3A671D33"/>
    <w:rsid w:val="422B4E17"/>
    <w:rsid w:val="480E1355"/>
    <w:rsid w:val="53946226"/>
    <w:rsid w:val="68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Administrator</cp:lastModifiedBy>
  <cp:lastPrinted>2018-10-16T08:26:00Z</cp:lastPrinted>
  <dcterms:modified xsi:type="dcterms:W3CDTF">2019-02-27T03:53:29Z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