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1" w:rightChars="53"/>
        <w:jc w:val="center"/>
        <w:rPr>
          <w:rFonts w:hint="eastAsia"/>
          <w:b/>
          <w:bCs/>
          <w:kern w:val="44"/>
          <w:sz w:val="32"/>
          <w:szCs w:val="32"/>
        </w:rPr>
      </w:pPr>
      <w:bookmarkStart w:id="37" w:name="_GoBack"/>
      <w:r>
        <w:rPr>
          <w:rFonts w:hint="eastAsia"/>
          <w:b/>
          <w:bCs/>
          <w:kern w:val="44"/>
          <w:sz w:val="32"/>
          <w:szCs w:val="32"/>
        </w:rPr>
        <w:t>四川川投国际网球中心开发有限责任公司</w:t>
      </w:r>
    </w:p>
    <w:p>
      <w:pPr>
        <w:ind w:right="111" w:rightChars="53"/>
        <w:jc w:val="center"/>
        <w:rPr>
          <w:rFonts w:hint="eastAsia"/>
          <w:b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32"/>
          <w:szCs w:val="32"/>
        </w:rPr>
        <w:t>2019年成都系列国际网球赛事氛围布置及活动执行服务商</w:t>
      </w:r>
      <w:bookmarkStart w:id="0" w:name="_Toc466377921"/>
      <w:bookmarkStart w:id="1" w:name="_Toc170621194"/>
      <w:bookmarkStart w:id="2" w:name="_Toc493084977"/>
      <w:bookmarkStart w:id="3" w:name="_Toc187120135"/>
      <w:bookmarkStart w:id="4" w:name="_Toc157235892"/>
      <w:bookmarkStart w:id="5" w:name="_Toc170621326"/>
      <w:r>
        <w:rPr>
          <w:rFonts w:hint="eastAsia"/>
          <w:b/>
          <w:bCs/>
          <w:kern w:val="44"/>
          <w:sz w:val="32"/>
          <w:szCs w:val="32"/>
        </w:rPr>
        <w:t>比选公告</w:t>
      </w:r>
      <w:bookmarkEnd w:id="0"/>
      <w:bookmarkEnd w:id="1"/>
      <w:bookmarkEnd w:id="2"/>
      <w:bookmarkEnd w:id="3"/>
      <w:bookmarkEnd w:id="4"/>
      <w:bookmarkEnd w:id="5"/>
      <w:bookmarkEnd w:id="37"/>
    </w:p>
    <w:p>
      <w:pPr>
        <w:spacing w:line="360" w:lineRule="auto"/>
        <w:ind w:right="94" w:rightChars="45" w:firstLine="840" w:firstLineChars="4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四川川投国际网球中心开发有限责任公司作为比选人，根据2019年成都系列国际网球赛事需要，拟通过公开比选方式确定2019年成都系列国际网球赛事氛围布置及活动执行服务商，现将有关事宜告知如下：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bCs w:val="0"/>
          <w:szCs w:val="24"/>
        </w:rPr>
      </w:pPr>
      <w:bookmarkStart w:id="6" w:name="_Toc493084978"/>
      <w:bookmarkStart w:id="7" w:name="_Toc157235894"/>
      <w:bookmarkStart w:id="8" w:name="_Toc170621327"/>
      <w:bookmarkStart w:id="9" w:name="_Toc170625691"/>
      <w:bookmarkStart w:id="10" w:name="_Toc170621195"/>
      <w:bookmarkStart w:id="11" w:name="_Toc319145196"/>
      <w:r>
        <w:rPr>
          <w:rFonts w:hint="eastAsia"/>
          <w:bCs w:val="0"/>
          <w:szCs w:val="24"/>
        </w:rPr>
        <w:t>一、比选范围</w:t>
      </w:r>
      <w:bookmarkEnd w:id="6"/>
      <w:bookmarkEnd w:id="7"/>
      <w:bookmarkEnd w:id="8"/>
      <w:bookmarkEnd w:id="9"/>
      <w:bookmarkEnd w:id="10"/>
      <w:bookmarkEnd w:id="11"/>
    </w:p>
    <w:p>
      <w:pPr>
        <w:spacing w:line="360" w:lineRule="auto"/>
        <w:ind w:right="94" w:rightChars="45" w:firstLine="493" w:firstLineChars="235"/>
        <w:rPr>
          <w:sz w:val="21"/>
          <w:szCs w:val="21"/>
        </w:rPr>
      </w:pPr>
      <w:r>
        <w:rPr>
          <w:sz w:val="21"/>
          <w:szCs w:val="21"/>
        </w:rPr>
        <w:t>1、比选范围：</w:t>
      </w:r>
      <w:r>
        <w:rPr>
          <w:rFonts w:hint="eastAsia"/>
          <w:sz w:val="21"/>
          <w:szCs w:val="21"/>
        </w:rPr>
        <w:t>2019年成都将连续举办国际网联青少年巡回赛（U18）、“一带一路”成都-澳网国际大学生锦标赛、ATP125成都国际网球挑战赛、ATP250成都公开赛、国际网联青年大师赛</w:t>
      </w:r>
      <w:r>
        <w:rPr>
          <w:rFonts w:hint="eastAsia"/>
          <w:sz w:val="21"/>
          <w:szCs w:val="21"/>
          <w:lang w:eastAsia="zh-CN"/>
        </w:rPr>
        <w:t>等多项</w:t>
      </w:r>
      <w:r>
        <w:rPr>
          <w:rFonts w:hint="eastAsia"/>
          <w:sz w:val="21"/>
          <w:szCs w:val="21"/>
        </w:rPr>
        <w:t>高水平国际网球赛事氛围布置及活动执行服务，本项目可能将分期、分批进行开展，具体工作内容以比选人发出的</w:t>
      </w:r>
      <w:r>
        <w:rPr>
          <w:rFonts w:hint="eastAsia"/>
          <w:sz w:val="21"/>
          <w:szCs w:val="21"/>
          <w:lang w:eastAsia="zh-CN"/>
        </w:rPr>
        <w:t>需求</w:t>
      </w:r>
      <w:r>
        <w:rPr>
          <w:rFonts w:hint="eastAsia"/>
          <w:sz w:val="21"/>
          <w:szCs w:val="21"/>
        </w:rPr>
        <w:t>为准，比选人有权确定、调整比选申请人的工作范围，比选申请人不得因比选人取消项目或调整项目范围，要求比选人进行赔偿。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2、工作内容：按照《2019年系列国际网球赛事氛围布置及活动执行服务项目清单》所示及要求，根据每项赛事实际情况保质保量完成赛事氛围布置及活动执行工作。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1）完成所有赛场内外氛围设计、布置。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2）完成赛场其他物品设计、制作、安装。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3）完成比赛相关广告设计、布置。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4）完成所有活动设计、布置、组织策划、现场执行。</w:t>
      </w:r>
    </w:p>
    <w:p>
      <w:pPr>
        <w:spacing w:line="360" w:lineRule="auto"/>
        <w:ind w:right="94" w:rightChars="45" w:firstLine="840" w:firstLineChars="4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5）完成所有布置项目结束后拆除及清理工作。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、地点：四川省成都市双流区</w:t>
      </w:r>
      <w:r>
        <w:rPr>
          <w:rFonts w:hint="eastAsia"/>
          <w:sz w:val="21"/>
          <w:szCs w:val="21"/>
          <w:lang w:eastAsia="zh-CN"/>
        </w:rPr>
        <w:t>金河路</w:t>
      </w:r>
      <w:r>
        <w:rPr>
          <w:rFonts w:hint="eastAsia"/>
          <w:sz w:val="21"/>
          <w:szCs w:val="21"/>
          <w:lang w:val="en-US" w:eastAsia="zh-CN"/>
        </w:rPr>
        <w:t>66</w:t>
      </w:r>
      <w:r>
        <w:rPr>
          <w:sz w:val="21"/>
          <w:szCs w:val="21"/>
        </w:rPr>
        <w:t>号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、标段划分：一个标段。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kern w:val="44"/>
          <w:szCs w:val="24"/>
        </w:rPr>
      </w:pPr>
      <w:bookmarkStart w:id="12" w:name="_Toc319145197"/>
      <w:bookmarkStart w:id="13" w:name="_Toc170621328"/>
      <w:bookmarkStart w:id="14" w:name="_Toc157235895"/>
      <w:bookmarkStart w:id="15" w:name="_Toc493084979"/>
      <w:bookmarkStart w:id="16" w:name="_Toc170625692"/>
      <w:bookmarkStart w:id="17" w:name="_Toc170621196"/>
      <w:r>
        <w:rPr>
          <w:rFonts w:hint="eastAsia"/>
          <w:kern w:val="44"/>
          <w:szCs w:val="24"/>
        </w:rPr>
        <w:t>二、资金来源</w:t>
      </w:r>
      <w:bookmarkEnd w:id="12"/>
      <w:bookmarkEnd w:id="13"/>
      <w:bookmarkEnd w:id="14"/>
      <w:bookmarkEnd w:id="15"/>
      <w:bookmarkEnd w:id="16"/>
      <w:bookmarkEnd w:id="17"/>
    </w:p>
    <w:p>
      <w:pPr>
        <w:spacing w:line="360" w:lineRule="auto"/>
        <w:ind w:firstLine="493" w:firstLineChars="235"/>
        <w:rPr>
          <w:sz w:val="24"/>
        </w:rPr>
      </w:pPr>
      <w:r>
        <w:rPr>
          <w:rFonts w:hint="eastAsia"/>
          <w:sz w:val="21"/>
          <w:szCs w:val="21"/>
        </w:rPr>
        <w:t>项目业主按相关规定筹集。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kern w:val="44"/>
          <w:szCs w:val="24"/>
        </w:rPr>
      </w:pPr>
      <w:bookmarkStart w:id="18" w:name="_Toc493084980"/>
      <w:bookmarkStart w:id="19" w:name="_Toc319145198"/>
      <w:bookmarkStart w:id="20" w:name="_Toc170621197"/>
      <w:bookmarkStart w:id="21" w:name="_Toc170625693"/>
      <w:bookmarkStart w:id="22" w:name="_Toc157235896"/>
      <w:bookmarkStart w:id="23" w:name="_Toc170621329"/>
      <w:r>
        <w:rPr>
          <w:rFonts w:hint="eastAsia"/>
          <w:kern w:val="44"/>
          <w:szCs w:val="24"/>
        </w:rPr>
        <w:t>三、比选申请人的资格要求</w:t>
      </w:r>
      <w:bookmarkEnd w:id="18"/>
      <w:bookmarkEnd w:id="19"/>
      <w:bookmarkEnd w:id="20"/>
      <w:bookmarkEnd w:id="21"/>
      <w:bookmarkEnd w:id="22"/>
      <w:bookmarkEnd w:id="23"/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1、具备独立法人资格的企业。</w:t>
      </w:r>
      <w:bookmarkStart w:id="24" w:name="_Toc157235897"/>
      <w:bookmarkStart w:id="25" w:name="_Toc319145199"/>
      <w:bookmarkStart w:id="26" w:name="_Toc170621198"/>
      <w:bookmarkStart w:id="27" w:name="_Toc170625694"/>
      <w:bookmarkStart w:id="28" w:name="_Toc170621330"/>
    </w:p>
    <w:p>
      <w:p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、企业从201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</w:rPr>
        <w:t>年起至今，具有2项以上（含2项）大型活动（省级及以上体育赛事，演艺、展览）组织、策划、执行经验；</w:t>
      </w:r>
    </w:p>
    <w:p>
      <w:pPr>
        <w:spacing w:line="360" w:lineRule="auto"/>
        <w:ind w:right="94" w:rightChars="45" w:firstLine="493" w:firstLineChars="235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、不接受联合体参选。</w:t>
      </w:r>
    </w:p>
    <w:p>
      <w:pPr>
        <w:numPr>
          <w:ilvl w:val="0"/>
          <w:numId w:val="1"/>
        </w:numPr>
        <w:spacing w:line="360" w:lineRule="auto"/>
        <w:ind w:right="94" w:rightChars="45" w:firstLine="493" w:firstLineChars="23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rFonts w:hint="eastAsia" w:ascii="Arial" w:hAnsi="Arial"/>
          <w:bCs w:val="0"/>
          <w:szCs w:val="24"/>
        </w:rPr>
      </w:pPr>
      <w:r>
        <w:rPr>
          <w:rFonts w:hint="eastAsia" w:ascii="Arial" w:hAnsi="Arial"/>
          <w:bCs w:val="0"/>
          <w:szCs w:val="24"/>
        </w:rPr>
        <w:t>四、比选文件的获取</w:t>
      </w:r>
      <w:bookmarkEnd w:id="24"/>
      <w:bookmarkEnd w:id="25"/>
      <w:bookmarkEnd w:id="26"/>
      <w:bookmarkEnd w:id="27"/>
      <w:bookmarkEnd w:id="28"/>
    </w:p>
    <w:p>
      <w:pPr>
        <w:spacing w:line="360" w:lineRule="auto"/>
        <w:ind w:right="94" w:rightChars="45" w:firstLine="493" w:firstLineChars="235"/>
        <w:rPr>
          <w:sz w:val="24"/>
        </w:rPr>
      </w:pPr>
      <w:r>
        <w:rPr>
          <w:rFonts w:hint="eastAsia"/>
          <w:sz w:val="21"/>
          <w:szCs w:val="21"/>
        </w:rPr>
        <w:t>1、凡有意参加比选者，请于</w:t>
      </w:r>
      <w:r>
        <w:rPr>
          <w:rFonts w:hint="eastAsia"/>
          <w:sz w:val="21"/>
          <w:szCs w:val="21"/>
          <w:u w:val="single"/>
        </w:rPr>
        <w:t>2019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>26</w:t>
      </w:r>
      <w:r>
        <w:rPr>
          <w:rFonts w:hint="eastAsia"/>
          <w:sz w:val="21"/>
          <w:szCs w:val="21"/>
        </w:rPr>
        <w:t>日至</w:t>
      </w:r>
      <w:r>
        <w:rPr>
          <w:rFonts w:hint="eastAsia"/>
          <w:sz w:val="21"/>
          <w:szCs w:val="21"/>
          <w:u w:val="single"/>
        </w:rPr>
        <w:t>2019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>4</w:t>
      </w:r>
      <w:r>
        <w:rPr>
          <w:rFonts w:hint="eastAsia"/>
          <w:sz w:val="21"/>
          <w:szCs w:val="21"/>
        </w:rPr>
        <w:t>日（法定节假日除外），每日上午(北京时间，下同)</w:t>
      </w:r>
      <w:r>
        <w:rPr>
          <w:rFonts w:hint="eastAsia"/>
          <w:sz w:val="21"/>
          <w:szCs w:val="21"/>
          <w:u w:val="single"/>
        </w:rPr>
        <w:t>9:30</w:t>
      </w:r>
      <w:r>
        <w:rPr>
          <w:rFonts w:hint="eastAsia"/>
          <w:sz w:val="21"/>
          <w:szCs w:val="21"/>
        </w:rPr>
        <w:t>时至</w:t>
      </w:r>
      <w:r>
        <w:rPr>
          <w:rFonts w:hint="eastAsia"/>
          <w:sz w:val="21"/>
          <w:szCs w:val="21"/>
          <w:u w:val="single"/>
        </w:rPr>
        <w:t>11:30</w:t>
      </w:r>
      <w:r>
        <w:rPr>
          <w:rFonts w:hint="eastAsia"/>
          <w:sz w:val="21"/>
          <w:szCs w:val="21"/>
        </w:rPr>
        <w:t>时，下午</w:t>
      </w:r>
      <w:r>
        <w:rPr>
          <w:rFonts w:hint="eastAsia"/>
          <w:sz w:val="21"/>
          <w:szCs w:val="21"/>
          <w:u w:val="single"/>
        </w:rPr>
        <w:t>14:00</w:t>
      </w:r>
      <w:r>
        <w:rPr>
          <w:rFonts w:hint="eastAsia"/>
          <w:sz w:val="21"/>
          <w:szCs w:val="21"/>
        </w:rPr>
        <w:t>时至</w:t>
      </w:r>
      <w:r>
        <w:rPr>
          <w:rFonts w:hint="eastAsia"/>
          <w:sz w:val="21"/>
          <w:szCs w:val="21"/>
          <w:u w:val="single"/>
        </w:rPr>
        <w:t>16:30</w:t>
      </w:r>
      <w:r>
        <w:rPr>
          <w:rFonts w:hint="eastAsia"/>
          <w:sz w:val="21"/>
          <w:szCs w:val="21"/>
        </w:rPr>
        <w:t>时在</w:t>
      </w:r>
      <w:r>
        <w:rPr>
          <w:rFonts w:hint="eastAsia"/>
          <w:sz w:val="21"/>
          <w:szCs w:val="21"/>
          <w:u w:val="single"/>
        </w:rPr>
        <w:t>四川川投国际网球中心开发有限责任公司</w:t>
      </w:r>
      <w:r>
        <w:rPr>
          <w:rFonts w:hint="eastAsia"/>
          <w:sz w:val="21"/>
          <w:szCs w:val="21"/>
        </w:rPr>
        <w:t>持以下资料购买比选文件：</w:t>
      </w:r>
    </w:p>
    <w:p>
      <w:pPr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1.1经办人介绍信或法定代表人授权委托书（须注明报名的项目名称），以上证件收原件；</w:t>
      </w:r>
    </w:p>
    <w:p>
      <w:pPr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1.2验经办人身份证原件，并收加盖比选申请人鲜章的复印件；</w:t>
      </w:r>
    </w:p>
    <w:p>
      <w:pPr>
        <w:spacing w:line="360" w:lineRule="auto"/>
        <w:ind w:firstLine="420" w:firstLineChars="200"/>
        <w:rPr>
          <w:rFonts w:hint="eastAsia"/>
          <w:bCs/>
          <w:sz w:val="21"/>
          <w:szCs w:val="21"/>
          <w:lang w:eastAsia="zh-CN"/>
        </w:rPr>
      </w:pPr>
      <w:r>
        <w:rPr>
          <w:rFonts w:hint="eastAsia"/>
          <w:bCs/>
          <w:sz w:val="21"/>
          <w:szCs w:val="21"/>
        </w:rPr>
        <w:t>1.3比选申请人营业执照副本、资质证书副本</w:t>
      </w:r>
      <w:r>
        <w:rPr>
          <w:rFonts w:hint="eastAsia"/>
          <w:bCs/>
          <w:sz w:val="21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  <w:lang w:val="en-US" w:eastAsia="zh-CN"/>
        </w:rPr>
        <w:t>1.4</w:t>
      </w:r>
      <w:r>
        <w:rPr>
          <w:rFonts w:hint="eastAsia"/>
          <w:bCs/>
          <w:sz w:val="21"/>
          <w:szCs w:val="21"/>
        </w:rPr>
        <w:t>以上资料验原件收加盖比选申请人鲜章的复印件。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rFonts w:hint="eastAsia" w:ascii="Arial" w:hAnsi="Arial"/>
          <w:bCs w:val="0"/>
          <w:szCs w:val="24"/>
        </w:rPr>
      </w:pPr>
      <w:bookmarkStart w:id="29" w:name="_Toc493084981"/>
      <w:bookmarkStart w:id="30" w:name="_Toc319145200"/>
      <w:bookmarkStart w:id="31" w:name="_Toc157235898"/>
      <w:bookmarkStart w:id="32" w:name="_Toc170621199"/>
      <w:bookmarkStart w:id="33" w:name="_Toc170625695"/>
      <w:bookmarkStart w:id="34" w:name="_Toc170621331"/>
      <w:r>
        <w:rPr>
          <w:rFonts w:hint="eastAsia" w:ascii="Arial" w:hAnsi="Arial"/>
          <w:bCs w:val="0"/>
          <w:szCs w:val="24"/>
        </w:rPr>
        <w:t>五、比选申请文件的递交</w:t>
      </w:r>
      <w:bookmarkEnd w:id="29"/>
    </w:p>
    <w:p>
      <w:pPr>
        <w:spacing w:line="360" w:lineRule="auto"/>
        <w:ind w:right="94" w:rightChars="45" w:firstLine="493" w:firstLineChars="235"/>
        <w:rPr>
          <w:sz w:val="21"/>
          <w:szCs w:val="21"/>
        </w:rPr>
      </w:pPr>
      <w:r>
        <w:rPr>
          <w:rFonts w:hint="eastAsia"/>
          <w:sz w:val="21"/>
          <w:szCs w:val="21"/>
        </w:rPr>
        <w:t>1、比选申请文件递交的截止时间（比选截止时间，下同）为</w:t>
      </w:r>
      <w:r>
        <w:rPr>
          <w:sz w:val="21"/>
          <w:szCs w:val="21"/>
          <w:u w:val="single"/>
        </w:rPr>
        <w:t>201</w:t>
      </w:r>
      <w:r>
        <w:rPr>
          <w:rFonts w:hint="eastAsia"/>
          <w:sz w:val="21"/>
          <w:szCs w:val="21"/>
          <w:u w:val="single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u w:val="single"/>
          <w:lang w:val="en-US" w:eastAsia="zh-CN"/>
        </w:rPr>
        <w:t>14</w:t>
      </w:r>
      <w:r>
        <w:rPr>
          <w:rFonts w:hint="eastAsia"/>
          <w:sz w:val="21"/>
          <w:szCs w:val="21"/>
        </w:rPr>
        <w:t>时</w:t>
      </w:r>
      <w:r>
        <w:rPr>
          <w:rFonts w:hint="eastAsia"/>
          <w:sz w:val="21"/>
          <w:szCs w:val="21"/>
          <w:u w:val="single"/>
        </w:rPr>
        <w:t>00</w:t>
      </w:r>
      <w:r>
        <w:rPr>
          <w:rFonts w:hint="eastAsia"/>
          <w:sz w:val="21"/>
          <w:szCs w:val="21"/>
        </w:rPr>
        <w:t>分，地点为</w:t>
      </w:r>
      <w:r>
        <w:rPr>
          <w:rFonts w:hint="eastAsia"/>
          <w:sz w:val="21"/>
          <w:szCs w:val="21"/>
          <w:u w:val="single"/>
        </w:rPr>
        <w:t>成都市双流区东升街道金河路66号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四川国际网球中心 大会议室ZN118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right="94" w:rightChars="45" w:firstLine="493" w:firstLineChars="235"/>
        <w:rPr>
          <w:sz w:val="21"/>
          <w:szCs w:val="21"/>
        </w:rPr>
      </w:pPr>
      <w:r>
        <w:rPr>
          <w:rFonts w:hint="eastAsia"/>
          <w:sz w:val="21"/>
          <w:szCs w:val="21"/>
        </w:rPr>
        <w:t>2、逾期送达的或者未送达指定地点的比选申请文件，比选人不予受理。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kern w:val="44"/>
          <w:szCs w:val="24"/>
        </w:rPr>
      </w:pPr>
      <w:bookmarkStart w:id="35" w:name="_Toc493084982"/>
      <w:r>
        <w:rPr>
          <w:rFonts w:hint="eastAsia"/>
          <w:kern w:val="44"/>
          <w:szCs w:val="24"/>
        </w:rPr>
        <w:t>六</w:t>
      </w:r>
      <w:r>
        <w:rPr>
          <w:kern w:val="44"/>
          <w:szCs w:val="24"/>
        </w:rPr>
        <w:t>、公告发布</w:t>
      </w:r>
      <w:bookmarkEnd w:id="35"/>
    </w:p>
    <w:p>
      <w:pPr>
        <w:spacing w:line="360" w:lineRule="auto"/>
        <w:ind w:firstLine="375" w:firstLineChars="17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本比选公告在</w:t>
      </w:r>
      <w:r>
        <w:rPr>
          <w:rFonts w:hint="eastAsia" w:ascii="宋体" w:hAnsi="宋体" w:eastAsia="宋体" w:cs="宋体"/>
          <w:sz w:val="21"/>
          <w:szCs w:val="21"/>
          <w:u w:val="single"/>
        </w:rPr>
        <w:t>川投集团公司外网（http://www.invest.com.cn/）、四川川投国际网球中心开发有限责任公司官网（http://www.sciitc.com/）以及全国公共资源交易平台（四川省）（http://ggzyjy.sc.gov.cn）</w:t>
      </w:r>
      <w:r>
        <w:rPr>
          <w:rFonts w:hint="eastAsia" w:ascii="宋体" w:hAnsi="宋体" w:eastAsia="宋体" w:cs="宋体"/>
          <w:sz w:val="21"/>
          <w:szCs w:val="21"/>
        </w:rPr>
        <w:t>上发布。</w:t>
      </w:r>
    </w:p>
    <w:p>
      <w:pPr>
        <w:pStyle w:val="3"/>
        <w:spacing w:before="156" w:beforeLines="50" w:after="156" w:afterLines="50" w:line="360" w:lineRule="auto"/>
        <w:ind w:firstLine="755" w:firstLineChars="235"/>
        <w:rPr>
          <w:kern w:val="44"/>
          <w:szCs w:val="24"/>
        </w:rPr>
      </w:pPr>
      <w:bookmarkStart w:id="36" w:name="_Toc493084983"/>
      <w:r>
        <w:rPr>
          <w:rFonts w:hint="eastAsia"/>
        </w:rPr>
        <w:t>七</w:t>
      </w:r>
      <w:r>
        <w:rPr>
          <w:rFonts w:hint="eastAsia"/>
          <w:kern w:val="44"/>
          <w:szCs w:val="24"/>
        </w:rPr>
        <w:t>、</w:t>
      </w:r>
      <w:bookmarkEnd w:id="30"/>
      <w:bookmarkEnd w:id="31"/>
      <w:bookmarkEnd w:id="32"/>
      <w:bookmarkEnd w:id="33"/>
      <w:bookmarkEnd w:id="34"/>
      <w:r>
        <w:rPr>
          <w:rFonts w:hint="eastAsia"/>
          <w:kern w:val="44"/>
          <w:szCs w:val="24"/>
        </w:rPr>
        <w:t>联系方式</w:t>
      </w:r>
      <w:bookmarkEnd w:id="36"/>
    </w:p>
    <w:p>
      <w:pPr>
        <w:spacing w:line="360" w:lineRule="auto"/>
        <w:ind w:left="21" w:leftChars="10" w:firstLine="611" w:firstLineChars="291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比选人：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四川川投国际网球中心开发有限责任公司</w:t>
      </w:r>
    </w:p>
    <w:p>
      <w:pPr>
        <w:spacing w:line="360" w:lineRule="auto"/>
        <w:ind w:left="2" w:leftChars="1" w:firstLine="611" w:firstLineChars="291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地  址：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成都市双流区金河路66号</w:t>
      </w:r>
    </w:p>
    <w:p>
      <w:pPr>
        <w:spacing w:line="360" w:lineRule="auto"/>
        <w:ind w:left="2" w:leftChars="1" w:firstLine="611" w:firstLineChars="291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徐女士</w:t>
      </w:r>
    </w:p>
    <w:p>
      <w:pPr>
        <w:spacing w:line="360" w:lineRule="auto"/>
        <w:ind w:left="2" w:leftChars="1" w:firstLine="611" w:firstLineChars="291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电  话：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028-8589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3078</w:t>
      </w:r>
    </w:p>
    <w:p/>
    <w:sectPr>
      <w:headerReference r:id="rId3" w:type="default"/>
      <w:pgSz w:w="11906" w:h="16838"/>
      <w:pgMar w:top="1440" w:right="1287" w:bottom="1712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DB959"/>
    <w:multiLevelType w:val="singleLevel"/>
    <w:tmpl w:val="811DB95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D3B"/>
    <w:rsid w:val="00036BF5"/>
    <w:rsid w:val="00094B90"/>
    <w:rsid w:val="000F3E13"/>
    <w:rsid w:val="00120D74"/>
    <w:rsid w:val="00144634"/>
    <w:rsid w:val="001657F9"/>
    <w:rsid w:val="00173A29"/>
    <w:rsid w:val="001D3778"/>
    <w:rsid w:val="00247A3D"/>
    <w:rsid w:val="002E67FF"/>
    <w:rsid w:val="003300A7"/>
    <w:rsid w:val="00333605"/>
    <w:rsid w:val="00333ADC"/>
    <w:rsid w:val="00375032"/>
    <w:rsid w:val="00384B49"/>
    <w:rsid w:val="003B1092"/>
    <w:rsid w:val="00487E9A"/>
    <w:rsid w:val="004E46AD"/>
    <w:rsid w:val="005135BB"/>
    <w:rsid w:val="00521769"/>
    <w:rsid w:val="005260B9"/>
    <w:rsid w:val="00535F31"/>
    <w:rsid w:val="005A5FA8"/>
    <w:rsid w:val="005D1FB6"/>
    <w:rsid w:val="005D6E11"/>
    <w:rsid w:val="005D777E"/>
    <w:rsid w:val="005E4FCF"/>
    <w:rsid w:val="005F3126"/>
    <w:rsid w:val="0062783B"/>
    <w:rsid w:val="006915C0"/>
    <w:rsid w:val="006C66D9"/>
    <w:rsid w:val="006E405A"/>
    <w:rsid w:val="006F51C8"/>
    <w:rsid w:val="007015A7"/>
    <w:rsid w:val="00711D68"/>
    <w:rsid w:val="007503B4"/>
    <w:rsid w:val="00775A5E"/>
    <w:rsid w:val="00830F0C"/>
    <w:rsid w:val="00877B74"/>
    <w:rsid w:val="008D35FA"/>
    <w:rsid w:val="0090696B"/>
    <w:rsid w:val="009538F5"/>
    <w:rsid w:val="00954B27"/>
    <w:rsid w:val="00956FFA"/>
    <w:rsid w:val="00957D3B"/>
    <w:rsid w:val="00977635"/>
    <w:rsid w:val="00A023FF"/>
    <w:rsid w:val="00A6701B"/>
    <w:rsid w:val="00A87E81"/>
    <w:rsid w:val="00AA3809"/>
    <w:rsid w:val="00AA588E"/>
    <w:rsid w:val="00AF1574"/>
    <w:rsid w:val="00B570B1"/>
    <w:rsid w:val="00B63254"/>
    <w:rsid w:val="00C01408"/>
    <w:rsid w:val="00C42BF3"/>
    <w:rsid w:val="00C45F18"/>
    <w:rsid w:val="00C77168"/>
    <w:rsid w:val="00CA0F74"/>
    <w:rsid w:val="00CE2ECD"/>
    <w:rsid w:val="00CF4470"/>
    <w:rsid w:val="00D46267"/>
    <w:rsid w:val="00D6699F"/>
    <w:rsid w:val="00D92884"/>
    <w:rsid w:val="00DF0B81"/>
    <w:rsid w:val="00E406C1"/>
    <w:rsid w:val="00E93085"/>
    <w:rsid w:val="00EF1804"/>
    <w:rsid w:val="00EF6901"/>
    <w:rsid w:val="00F268F2"/>
    <w:rsid w:val="00F9066F"/>
    <w:rsid w:val="02F24DBD"/>
    <w:rsid w:val="03570C77"/>
    <w:rsid w:val="0447187D"/>
    <w:rsid w:val="11820C1A"/>
    <w:rsid w:val="227760BD"/>
    <w:rsid w:val="3D3B3F39"/>
    <w:rsid w:val="4B1E74DB"/>
    <w:rsid w:val="4C5E2196"/>
    <w:rsid w:val="4EF265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0" w:name="HTML Cite"/>
    <w:lsdException w:uiPriority="0" w:name="HTML Code"/>
    <w:lsdException w:uiPriority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8"/>
    <w:qFormat/>
    <w:uiPriority w:val="0"/>
    <w:rPr>
      <w:b/>
      <w:bCs/>
    </w:rPr>
  </w:style>
  <w:style w:type="paragraph" w:styleId="6">
    <w:name w:val="annotation text"/>
    <w:basedOn w:val="1"/>
    <w:link w:val="26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7">
    <w:name w:val="Body Text First Indent"/>
    <w:basedOn w:val="8"/>
    <w:link w:val="27"/>
    <w:qFormat/>
    <w:uiPriority w:val="0"/>
    <w:pPr>
      <w:ind w:firstLine="420" w:firstLineChars="100"/>
    </w:pPr>
    <w:rPr>
      <w:szCs w:val="20"/>
    </w:rPr>
  </w:style>
  <w:style w:type="paragraph" w:styleId="8">
    <w:name w:val="Body Text"/>
    <w:basedOn w:val="1"/>
    <w:link w:val="24"/>
    <w:qFormat/>
    <w:uiPriority w:val="0"/>
    <w:pPr>
      <w:spacing w:after="120"/>
    </w:pPr>
  </w:style>
  <w:style w:type="paragraph" w:styleId="9">
    <w:name w:val="Date"/>
    <w:basedOn w:val="1"/>
    <w:next w:val="1"/>
    <w:link w:val="25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10">
    <w:name w:val="Balloon Text"/>
    <w:basedOn w:val="1"/>
    <w:link w:val="23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9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styleId="12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kern w:val="44"/>
      <w:sz w:val="28"/>
      <w:szCs w:val="20"/>
    </w:rPr>
  </w:style>
  <w:style w:type="character" w:customStyle="1" w:styleId="17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9">
    <w:name w:val="批注主题 Char"/>
    <w:link w:val="5"/>
    <w:qFormat/>
    <w:uiPriority w:val="0"/>
    <w:rPr>
      <w:b/>
      <w:bCs/>
      <w:szCs w:val="24"/>
    </w:rPr>
  </w:style>
  <w:style w:type="character" w:customStyle="1" w:styleId="20">
    <w:name w:val="批注文字 Char"/>
    <w:link w:val="6"/>
    <w:qFormat/>
    <w:uiPriority w:val="0"/>
    <w:rPr>
      <w:szCs w:val="24"/>
    </w:rPr>
  </w:style>
  <w:style w:type="character" w:customStyle="1" w:styleId="21">
    <w:name w:val="页眉 Char"/>
    <w:link w:val="12"/>
    <w:qFormat/>
    <w:uiPriority w:val="0"/>
    <w:rPr>
      <w:sz w:val="18"/>
      <w:szCs w:val="18"/>
    </w:rPr>
  </w:style>
  <w:style w:type="character" w:customStyle="1" w:styleId="22">
    <w:name w:val="页眉 Char1"/>
    <w:basedOn w:val="13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Char"/>
    <w:basedOn w:val="13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正文文本 Char"/>
    <w:basedOn w:val="13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日期 Char"/>
    <w:basedOn w:val="13"/>
    <w:link w:val="9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26">
    <w:name w:val="批注文字 Char1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首行缩进 Char"/>
    <w:basedOn w:val="24"/>
    <w:link w:val="7"/>
    <w:qFormat/>
    <w:uiPriority w:val="0"/>
    <w:rPr>
      <w:szCs w:val="20"/>
    </w:rPr>
  </w:style>
  <w:style w:type="character" w:customStyle="1" w:styleId="28">
    <w:name w:val="批注主题 Char1"/>
    <w:basedOn w:val="26"/>
    <w:link w:val="5"/>
    <w:semiHidden/>
    <w:qFormat/>
    <w:uiPriority w:val="99"/>
    <w:rPr>
      <w:b/>
      <w:bCs/>
    </w:rPr>
  </w:style>
  <w:style w:type="character" w:customStyle="1" w:styleId="29">
    <w:name w:val="页脚 Char"/>
    <w:basedOn w:val="13"/>
    <w:link w:val="11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30">
    <w:name w:val="①"/>
    <w:basedOn w:val="1"/>
    <w:qFormat/>
    <w:uiPriority w:val="0"/>
    <w:pPr>
      <w:tabs>
        <w:tab w:val="left" w:pos="0"/>
        <w:tab w:val="left" w:pos="1134"/>
        <w:tab w:val="left" w:pos="8505"/>
      </w:tabs>
      <w:snapToGrid w:val="0"/>
      <w:spacing w:before="60" w:after="60" w:line="360" w:lineRule="auto"/>
      <w:ind w:left="642" w:leftChars="490" w:hanging="152" w:hangingChars="152"/>
      <w:textAlignment w:val="baseline"/>
    </w:pPr>
    <w:rPr>
      <w:rFonts w:ascii="Arial" w:hAnsi="Arial"/>
      <w:kern w:val="0"/>
      <w:sz w:val="24"/>
      <w:szCs w:val="20"/>
    </w:rPr>
  </w:style>
  <w:style w:type="paragraph" w:customStyle="1" w:styleId="31">
    <w:name w:val="List Paragraph1"/>
    <w:basedOn w:val="1"/>
    <w:qFormat/>
    <w:uiPriority w:val="99"/>
    <w:pPr>
      <w:ind w:firstLine="420" w:firstLineChars="200"/>
    </w:pPr>
  </w:style>
  <w:style w:type="paragraph" w:customStyle="1" w:styleId="3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保留正文"/>
    <w:basedOn w:val="8"/>
    <w:qFormat/>
    <w:uiPriority w:val="0"/>
    <w:pPr>
      <w:keepNext/>
      <w:spacing w:after="16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23</Pages>
  <Words>1893</Words>
  <Characters>10793</Characters>
  <Lines>89</Lines>
  <Paragraphs>25</Paragraphs>
  <TotalTime>20</TotalTime>
  <ScaleCrop>false</ScaleCrop>
  <LinksUpToDate>false</LinksUpToDate>
  <CharactersWithSpaces>12661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2018-02-08T05:17:00Z</dcterms:created>
  <dc:creator>练青</dc:creator>
  <cp:lastModifiedBy>Administrator</cp:lastModifiedBy>
  <cp:lastPrinted>2019-02-22T03:17:00Z</cp:lastPrinted>
  <dcterms:modified xsi:type="dcterms:W3CDTF">2019-02-26T06:36:44Z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