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1" w:rightChars="53"/>
        <w:jc w:val="center"/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eastAsia="zh-CN"/>
        </w:rPr>
        <w:t>四川川投国际网球中心开发有限责任公司网络监控系统</w:t>
      </w:r>
    </w:p>
    <w:p>
      <w:pPr>
        <w:spacing w:line="360" w:lineRule="auto"/>
        <w:ind w:right="111" w:rightChars="53"/>
        <w:jc w:val="center"/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eastAsia="zh-CN"/>
        </w:rPr>
        <w:t>改造项目比选公告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1.比选条件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四川川投国际网球中心开发有限责任公司网络监控系统改造项目</w:t>
      </w:r>
      <w:r>
        <w:rPr>
          <w:rFonts w:hint="eastAsia" w:ascii="仿宋" w:hAnsi="仿宋" w:eastAsia="仿宋" w:cs="仿宋"/>
          <w:sz w:val="28"/>
          <w:szCs w:val="28"/>
        </w:rPr>
        <w:t>业主为四川川投国际网球中心开发有限责任公司,建设资金来自企业自筹(国家非政府投资),项目出资比例为100%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该项目已具备比选条件,业主决定对该项目进行公开比选。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2.项目概况与比选范围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概况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比选人</w:t>
            </w:r>
          </w:p>
        </w:tc>
        <w:tc>
          <w:tcPr>
            <w:tcW w:w="699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699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网络监控系统改造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地点</w:t>
            </w:r>
          </w:p>
        </w:tc>
        <w:tc>
          <w:tcPr>
            <w:tcW w:w="699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成都市双流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区金河路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66号 四川国际网球中心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2.2比选范围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本次比选范围为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网络监控系统改造</w:t>
      </w:r>
      <w:r>
        <w:rPr>
          <w:rFonts w:hint="eastAsia" w:ascii="仿宋" w:hAnsi="仿宋" w:eastAsia="仿宋" w:cs="仿宋"/>
          <w:sz w:val="28"/>
          <w:szCs w:val="28"/>
        </w:rPr>
        <w:t>,按一个标段进行比选。具体内容如下：</w:t>
      </w:r>
    </w:p>
    <w:tbl>
      <w:tblPr>
        <w:tblStyle w:val="1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12"/>
        <w:gridCol w:w="2535"/>
        <w:gridCol w:w="228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标段</w:t>
            </w:r>
          </w:p>
        </w:tc>
        <w:tc>
          <w:tcPr>
            <w:tcW w:w="111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发包范围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服务周期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(日历天)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控制费率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网络监控系统改造</w:t>
            </w:r>
          </w:p>
        </w:tc>
        <w:tc>
          <w:tcPr>
            <w:tcW w:w="253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四川国际网球中心园区内总平及建筑物内部监控系统建设、监控中心机房翻新改造。</w:t>
            </w:r>
          </w:p>
        </w:tc>
        <w:tc>
          <w:tcPr>
            <w:tcW w:w="228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具体以合同签定日期开始，以实际工程竣工验收完成之日止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728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250.00万元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（包干价)</w:t>
            </w:r>
          </w:p>
        </w:tc>
      </w:tr>
    </w:tbl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3.参选人资格要求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3.1参选人应具有独立法人资格,注册资金在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u w:val="single"/>
        </w:rPr>
        <w:t>00万元(含)人民币以上,具备与开展业务相适应的资质条件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u w:val="single"/>
        </w:rPr>
        <w:t>省外企业必须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取得</w:t>
      </w:r>
      <w:r>
        <w:rPr>
          <w:rFonts w:hint="eastAsia" w:ascii="仿宋" w:hAnsi="仿宋" w:eastAsia="仿宋" w:cs="仿宋"/>
          <w:sz w:val="28"/>
          <w:szCs w:val="28"/>
          <w:u w:val="single"/>
        </w:rPr>
        <w:t>入川备案证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3.2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2016年～2017年财务状况良好、无亏损，须提供会计师事务所出具的审计报告；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3.3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2015年～2018年承担过单项合同集成200个网络摄像机及以上业绩，并提供相应的证明材料；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3.4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具有电子与建筑智能化工程专业承包贰级及以上资质；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3.5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具有电子与智能化工程设计专项乙级及以上资质；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3.6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具有安全生产许可证；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本次比选不接受联合体参选。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4.比选文件的获取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4.1参选人请于2019年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日至2019年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日(法定公休日、法定节假日除外),每日上午9:00时至12:00时，下午13:00时至17:00时(北京时间),持下列证件在成都市双流区金河路66号四川国际网球中心采购部领取比选文件。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（1）购买人身份证(查验原件留复印件)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（2）单位介绍信(留原件)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（3）营业执照副本(查验原件留复印件)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（4）资质证书副本(查验原件留复印件)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（备注:以上证件复印件均需加盖参选人公章。）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5.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比选申请文件的递交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5.1比选申请文件递交的截止时间（比选截止时间，下同）为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u w:val="single"/>
        </w:rPr>
        <w:t>1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时</w:t>
      </w:r>
      <w:r>
        <w:rPr>
          <w:rFonts w:hint="eastAsia" w:ascii="仿宋" w:hAnsi="仿宋" w:eastAsia="仿宋" w:cs="仿宋"/>
          <w:sz w:val="28"/>
          <w:szCs w:val="28"/>
          <w:u w:val="single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分，地点为：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成都市双流区金河路66号四川国际网球中心 中心球场会议室ZN118（（如有变化，另行通知）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5.2逾期送达的或者未送达指定地点的比选申请文件，比选人不予受理。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6.公告发布</w:t>
      </w:r>
    </w:p>
    <w:p>
      <w:pPr>
        <w:jc w:val="left"/>
        <w:rPr>
          <w:rFonts w:hint="eastAsia" w:ascii="仿宋" w:hAnsi="仿宋" w:eastAsia="仿宋" w:cs="仿宋"/>
          <w:spacing w:val="-4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6.1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本比选公告在</w:t>
      </w:r>
      <w:r>
        <w:rPr>
          <w:rFonts w:hint="eastAsia" w:ascii="仿宋" w:hAnsi="仿宋" w:eastAsia="仿宋" w:cs="仿宋"/>
          <w:spacing w:val="-28"/>
          <w:sz w:val="28"/>
          <w:szCs w:val="28"/>
          <w:lang w:eastAsia="zh-CN"/>
        </w:rPr>
        <w:t>四川省投资集团有限责任公司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（https://www.invest.com.cn/）</w:t>
      </w:r>
      <w:r>
        <w:rPr>
          <w:rFonts w:hint="eastAsia" w:ascii="仿宋" w:hAnsi="仿宋" w:eastAsia="仿宋" w:cs="仿宋"/>
          <w:spacing w:val="-28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 xml:space="preserve"> 四川川投国际网球中心开发有限责任公（http://www.sciitc.com/）</w:t>
      </w:r>
      <w:r>
        <w:rPr>
          <w:rFonts w:hint="eastAsia" w:ascii="仿宋" w:hAnsi="仿宋" w:eastAsia="仿宋" w:cs="仿宋"/>
          <w:spacing w:val="-28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全国公共资源交易平台（四川省）（http://www.scggzy.gov.cn/）上发布。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7、联系方式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比选人：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四川川投国际网球中心开发有限责任公司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地  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成都市双流区金河路66号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徐女士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电  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028-85893078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369E"/>
    <w:rsid w:val="00001894"/>
    <w:rsid w:val="000301BD"/>
    <w:rsid w:val="00037DAD"/>
    <w:rsid w:val="000527C1"/>
    <w:rsid w:val="0005702D"/>
    <w:rsid w:val="000946B0"/>
    <w:rsid w:val="000A4411"/>
    <w:rsid w:val="0010224C"/>
    <w:rsid w:val="001C049C"/>
    <w:rsid w:val="001E31BC"/>
    <w:rsid w:val="002447CD"/>
    <w:rsid w:val="002823C8"/>
    <w:rsid w:val="00287F7D"/>
    <w:rsid w:val="002B06BB"/>
    <w:rsid w:val="002E2E1C"/>
    <w:rsid w:val="002E432D"/>
    <w:rsid w:val="003057F4"/>
    <w:rsid w:val="00312CA0"/>
    <w:rsid w:val="003533D5"/>
    <w:rsid w:val="00395093"/>
    <w:rsid w:val="003B6FBB"/>
    <w:rsid w:val="003C1B62"/>
    <w:rsid w:val="003C2475"/>
    <w:rsid w:val="00426AAE"/>
    <w:rsid w:val="004516C8"/>
    <w:rsid w:val="00471975"/>
    <w:rsid w:val="00496532"/>
    <w:rsid w:val="004D11C4"/>
    <w:rsid w:val="004D768A"/>
    <w:rsid w:val="004F0F4A"/>
    <w:rsid w:val="00521DE3"/>
    <w:rsid w:val="00546E2F"/>
    <w:rsid w:val="005634A9"/>
    <w:rsid w:val="00584081"/>
    <w:rsid w:val="0059541E"/>
    <w:rsid w:val="005961C2"/>
    <w:rsid w:val="005A27AD"/>
    <w:rsid w:val="005D54C5"/>
    <w:rsid w:val="005F7646"/>
    <w:rsid w:val="00600B4B"/>
    <w:rsid w:val="006165F3"/>
    <w:rsid w:val="0062123E"/>
    <w:rsid w:val="00691749"/>
    <w:rsid w:val="006B2B69"/>
    <w:rsid w:val="006D06B1"/>
    <w:rsid w:val="00755B98"/>
    <w:rsid w:val="00774271"/>
    <w:rsid w:val="0079489C"/>
    <w:rsid w:val="007B33A2"/>
    <w:rsid w:val="007D39EF"/>
    <w:rsid w:val="007E2594"/>
    <w:rsid w:val="00813428"/>
    <w:rsid w:val="0082400C"/>
    <w:rsid w:val="008439AE"/>
    <w:rsid w:val="008655B0"/>
    <w:rsid w:val="008962BE"/>
    <w:rsid w:val="008A154A"/>
    <w:rsid w:val="008E052F"/>
    <w:rsid w:val="008E7E6C"/>
    <w:rsid w:val="008F7498"/>
    <w:rsid w:val="00926A62"/>
    <w:rsid w:val="009546B6"/>
    <w:rsid w:val="009702DD"/>
    <w:rsid w:val="009E7898"/>
    <w:rsid w:val="009F3836"/>
    <w:rsid w:val="00A01533"/>
    <w:rsid w:val="00A32683"/>
    <w:rsid w:val="00A32E82"/>
    <w:rsid w:val="00A413BE"/>
    <w:rsid w:val="00A70C2B"/>
    <w:rsid w:val="00A9507B"/>
    <w:rsid w:val="00AA09EB"/>
    <w:rsid w:val="00AF14BA"/>
    <w:rsid w:val="00B07D43"/>
    <w:rsid w:val="00B81DF1"/>
    <w:rsid w:val="00BD5EB7"/>
    <w:rsid w:val="00C113FC"/>
    <w:rsid w:val="00C6239A"/>
    <w:rsid w:val="00C633CC"/>
    <w:rsid w:val="00D14C19"/>
    <w:rsid w:val="00D2319F"/>
    <w:rsid w:val="00DA0366"/>
    <w:rsid w:val="00DA1038"/>
    <w:rsid w:val="00DA4DD9"/>
    <w:rsid w:val="00DC773F"/>
    <w:rsid w:val="00DD0173"/>
    <w:rsid w:val="00DD2499"/>
    <w:rsid w:val="00DF0289"/>
    <w:rsid w:val="00E209EF"/>
    <w:rsid w:val="00E503C3"/>
    <w:rsid w:val="00E6369E"/>
    <w:rsid w:val="00E95F25"/>
    <w:rsid w:val="00E9669C"/>
    <w:rsid w:val="00EA2924"/>
    <w:rsid w:val="00EB4B87"/>
    <w:rsid w:val="00F00871"/>
    <w:rsid w:val="00F417E8"/>
    <w:rsid w:val="00FB50EF"/>
    <w:rsid w:val="00FC77EE"/>
    <w:rsid w:val="00FF0B95"/>
    <w:rsid w:val="00FF445F"/>
    <w:rsid w:val="00FF79C4"/>
    <w:rsid w:val="18DF04E0"/>
    <w:rsid w:val="1DAE2A4C"/>
    <w:rsid w:val="23D022F9"/>
    <w:rsid w:val="2C143637"/>
    <w:rsid w:val="34A839FA"/>
    <w:rsid w:val="753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ind w:firstLine="241" w:firstLineChars="100"/>
      <w:outlineLvl w:val="1"/>
    </w:pPr>
    <w:rPr>
      <w:rFonts w:ascii="宋体" w:hAnsi="宋体" w:eastAsia="宋体" w:cs="Times New Roman"/>
      <w:b/>
      <w:bCs/>
      <w:kern w:val="0"/>
      <w:sz w:val="24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2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rPr>
      <w:rFonts w:ascii="宋体" w:hAnsi="宋体" w:eastAsia="宋体" w:cs="Times New Roman"/>
      <w:sz w:val="28"/>
      <w:szCs w:val="24"/>
    </w:rPr>
  </w:style>
  <w:style w:type="character" w:styleId="11">
    <w:name w:val="FollowedHyperlink"/>
    <w:basedOn w:val="10"/>
    <w:semiHidden/>
    <w:unhideWhenUsed/>
    <w:qFormat/>
    <w:uiPriority w:val="99"/>
    <w:rPr>
      <w:color w:val="954F72" w:themeColor="followedHyperlink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标题 1 Char"/>
    <w:basedOn w:val="10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9">
    <w:name w:val="TOC Heading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Times New Roman"/>
      <w:b w:val="0"/>
      <w:bCs w:val="0"/>
      <w:color w:val="2F5496"/>
      <w:kern w:val="0"/>
      <w:sz w:val="32"/>
      <w:szCs w:val="32"/>
    </w:rPr>
  </w:style>
  <w:style w:type="character" w:customStyle="1" w:styleId="20">
    <w:name w:val="标题 2 Char"/>
    <w:basedOn w:val="10"/>
    <w:link w:val="3"/>
    <w:qFormat/>
    <w:uiPriority w:val="0"/>
    <w:rPr>
      <w:rFonts w:ascii="宋体" w:hAnsi="宋体" w:eastAsia="宋体" w:cs="Times New Roman"/>
      <w:b/>
      <w:bCs/>
      <w:kern w:val="0"/>
      <w:sz w:val="24"/>
      <w:szCs w:val="20"/>
    </w:rPr>
  </w:style>
  <w:style w:type="character" w:customStyle="1" w:styleId="21">
    <w:name w:val="批注文字 Char"/>
    <w:basedOn w:val="10"/>
    <w:link w:val="5"/>
    <w:semiHidden/>
    <w:qFormat/>
    <w:uiPriority w:val="99"/>
  </w:style>
  <w:style w:type="character" w:customStyle="1" w:styleId="22">
    <w:name w:val="批注主题 Char"/>
    <w:basedOn w:val="21"/>
    <w:link w:val="4"/>
    <w:semiHidden/>
    <w:qFormat/>
    <w:uiPriority w:val="99"/>
    <w:rPr>
      <w:b/>
      <w:bCs/>
    </w:rPr>
  </w:style>
  <w:style w:type="paragraph" w:customStyle="1" w:styleId="2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0"/>
    <w:link w:val="6"/>
    <w:semiHidden/>
    <w:uiPriority w:val="99"/>
    <w:rPr>
      <w:sz w:val="18"/>
      <w:szCs w:val="18"/>
    </w:rPr>
  </w:style>
  <w:style w:type="paragraph" w:styleId="25">
    <w:name w:val="No Spacing"/>
    <w:link w:val="2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6">
    <w:name w:val="无间隔 Char"/>
    <w:basedOn w:val="10"/>
    <w:link w:val="25"/>
    <w:qFormat/>
    <w:uiPriority w:val="1"/>
    <w:rPr>
      <w:kern w:val="0"/>
      <w:sz w:val="2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A53B3-76CF-41EA-A4AC-5FA6E4B11D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1745</Words>
  <Characters>9948</Characters>
  <Lines>82</Lines>
  <Paragraphs>23</Paragraphs>
  <TotalTime>8</TotalTime>
  <ScaleCrop>false</ScaleCrop>
  <LinksUpToDate>false</LinksUpToDate>
  <CharactersWithSpaces>11670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2018-12-20T10:57:00Z</dcterms:created>
  <dc:creator>唐三章</dc:creator>
  <cp:lastModifiedBy>Administrator</cp:lastModifiedBy>
  <dcterms:modified xsi:type="dcterms:W3CDTF">2019-01-23T06:59:11Z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